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E3C70">
      <w:pPr>
        <w:snapToGrid w:val="0"/>
        <w:jc w:val="center"/>
        <w:rPr>
          <w:rFonts w:hint="eastAsia" w:ascii="黑体" w:eastAsia="黑体" w:cs="方正小标宋_GBK"/>
          <w:bCs/>
          <w:color w:val="auto"/>
          <w:sz w:val="52"/>
          <w:szCs w:val="52"/>
          <w:highlight w:val="none"/>
          <w:lang w:val="en-US" w:eastAsia="zh-CN"/>
        </w:rPr>
      </w:pPr>
    </w:p>
    <w:p w14:paraId="60BC293A">
      <w:pPr>
        <w:spacing w:line="360" w:lineRule="auto"/>
        <w:jc w:val="center"/>
        <w:rPr>
          <w:color w:val="auto"/>
          <w:sz w:val="28"/>
          <w:szCs w:val="28"/>
          <w:highlight w:val="none"/>
        </w:rPr>
      </w:pPr>
    </w:p>
    <w:p w14:paraId="4961F004">
      <w:pPr>
        <w:spacing w:line="360" w:lineRule="auto"/>
        <w:jc w:val="center"/>
        <w:rPr>
          <w:rFonts w:hint="eastAsia" w:eastAsia="隶书" w:cs="隶书"/>
          <w:bCs/>
          <w:color w:val="auto"/>
          <w:w w:val="150"/>
          <w:sz w:val="72"/>
          <w:szCs w:val="72"/>
          <w:highlight w:val="none"/>
          <w:lang w:val="en-US" w:eastAsia="zh-CN"/>
        </w:rPr>
      </w:pPr>
      <w:r>
        <w:rPr>
          <w:rFonts w:hint="eastAsia" w:eastAsia="隶书" w:cs="隶书"/>
          <w:bCs/>
          <w:color w:val="auto"/>
          <w:w w:val="150"/>
          <w:sz w:val="72"/>
          <w:szCs w:val="72"/>
          <w:highlight w:val="none"/>
          <w:lang w:val="en-US" w:eastAsia="zh-CN"/>
        </w:rPr>
        <w:t>遴</w:t>
      </w:r>
    </w:p>
    <w:p w14:paraId="127925C4">
      <w:pPr>
        <w:spacing w:line="360" w:lineRule="auto"/>
        <w:jc w:val="center"/>
        <w:rPr>
          <w:rFonts w:hint="eastAsia" w:eastAsia="隶书" w:cs="隶书"/>
          <w:bCs/>
          <w:color w:val="auto"/>
          <w:w w:val="150"/>
          <w:sz w:val="72"/>
          <w:szCs w:val="72"/>
          <w:highlight w:val="none"/>
          <w:lang w:val="en-US" w:eastAsia="zh-CN"/>
        </w:rPr>
      </w:pPr>
    </w:p>
    <w:p w14:paraId="3A19FE6D">
      <w:pPr>
        <w:spacing w:line="360" w:lineRule="auto"/>
        <w:jc w:val="center"/>
        <w:rPr>
          <w:rFonts w:hint="eastAsia" w:eastAsia="宋体"/>
          <w:bCs/>
          <w:color w:val="auto"/>
          <w:w w:val="150"/>
          <w:sz w:val="72"/>
          <w:szCs w:val="72"/>
          <w:highlight w:val="none"/>
          <w:lang w:eastAsia="zh-CN"/>
        </w:rPr>
      </w:pPr>
      <w:r>
        <w:rPr>
          <w:rFonts w:hint="eastAsia" w:eastAsia="隶书" w:cs="隶书"/>
          <w:bCs/>
          <w:color w:val="auto"/>
          <w:w w:val="150"/>
          <w:sz w:val="72"/>
          <w:szCs w:val="72"/>
          <w:highlight w:val="none"/>
          <w:lang w:val="en-US" w:eastAsia="zh-CN"/>
        </w:rPr>
        <w:t>选</w:t>
      </w:r>
    </w:p>
    <w:p w14:paraId="13CA81A9">
      <w:pPr>
        <w:spacing w:line="360" w:lineRule="auto"/>
        <w:jc w:val="center"/>
        <w:rPr>
          <w:color w:val="auto"/>
          <w:sz w:val="32"/>
          <w:szCs w:val="32"/>
          <w:highlight w:val="none"/>
        </w:rPr>
      </w:pPr>
    </w:p>
    <w:p w14:paraId="28D80B34">
      <w:pPr>
        <w:spacing w:line="360" w:lineRule="auto"/>
        <w:jc w:val="center"/>
        <w:rPr>
          <w:color w:val="auto"/>
          <w:sz w:val="32"/>
          <w:szCs w:val="32"/>
          <w:highlight w:val="none"/>
        </w:rPr>
      </w:pPr>
    </w:p>
    <w:p w14:paraId="4062CCC6">
      <w:pPr>
        <w:spacing w:line="360" w:lineRule="auto"/>
        <w:jc w:val="center"/>
        <w:rPr>
          <w:rFonts w:eastAsia="隶书"/>
          <w:bCs/>
          <w:color w:val="auto"/>
          <w:sz w:val="72"/>
          <w:szCs w:val="72"/>
          <w:highlight w:val="none"/>
        </w:rPr>
      </w:pPr>
      <w:r>
        <w:rPr>
          <w:rFonts w:hint="eastAsia" w:eastAsia="隶书" w:cs="隶书"/>
          <w:bCs/>
          <w:color w:val="auto"/>
          <w:w w:val="150"/>
          <w:sz w:val="72"/>
          <w:szCs w:val="72"/>
          <w:highlight w:val="none"/>
        </w:rPr>
        <w:t>文</w:t>
      </w:r>
    </w:p>
    <w:p w14:paraId="01AC7BAF">
      <w:pPr>
        <w:spacing w:line="360" w:lineRule="auto"/>
        <w:jc w:val="center"/>
        <w:rPr>
          <w:color w:val="auto"/>
          <w:sz w:val="32"/>
          <w:szCs w:val="32"/>
          <w:highlight w:val="none"/>
        </w:rPr>
      </w:pPr>
    </w:p>
    <w:p w14:paraId="2398EA93">
      <w:pPr>
        <w:spacing w:line="360" w:lineRule="auto"/>
        <w:jc w:val="center"/>
        <w:rPr>
          <w:color w:val="auto"/>
          <w:sz w:val="72"/>
          <w:szCs w:val="72"/>
          <w:highlight w:val="none"/>
        </w:rPr>
      </w:pPr>
      <w:r>
        <w:rPr>
          <w:rFonts w:hint="eastAsia" w:eastAsia="隶书" w:cs="隶书"/>
          <w:bCs/>
          <w:color w:val="auto"/>
          <w:w w:val="150"/>
          <w:sz w:val="72"/>
          <w:szCs w:val="72"/>
          <w:highlight w:val="none"/>
        </w:rPr>
        <w:t>件</w:t>
      </w:r>
    </w:p>
    <w:p w14:paraId="61AF7125">
      <w:pPr>
        <w:spacing w:line="360" w:lineRule="auto"/>
        <w:jc w:val="center"/>
        <w:rPr>
          <w:color w:val="auto"/>
          <w:sz w:val="28"/>
          <w:szCs w:val="28"/>
          <w:highlight w:val="none"/>
        </w:rPr>
      </w:pPr>
      <w:bookmarkStart w:id="0" w:name="sign"/>
      <w:bookmarkEnd w:id="0"/>
    </w:p>
    <w:p w14:paraId="36AC855F">
      <w:pPr>
        <w:spacing w:line="360" w:lineRule="auto"/>
        <w:jc w:val="center"/>
        <w:rPr>
          <w:color w:val="auto"/>
          <w:sz w:val="28"/>
          <w:szCs w:val="28"/>
          <w:highlight w:val="none"/>
        </w:rPr>
      </w:pPr>
    </w:p>
    <w:p w14:paraId="55E312BA">
      <w:pPr>
        <w:spacing w:line="360" w:lineRule="auto"/>
        <w:ind w:firstLine="643" w:firstLineChars="2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val="en-US" w:eastAsia="zh-CN"/>
        </w:rPr>
        <w:t>项目名称：</w:t>
      </w:r>
      <w:r>
        <w:rPr>
          <w:rFonts w:hint="eastAsia" w:ascii="仿宋" w:hAnsi="仿宋" w:eastAsia="仿宋" w:cs="仿宋"/>
          <w:b/>
          <w:bCs/>
          <w:color w:val="auto"/>
          <w:sz w:val="32"/>
          <w:szCs w:val="32"/>
          <w:highlight w:val="none"/>
          <w:lang w:eastAsia="zh-CN"/>
        </w:rPr>
        <w:t>南京市溧水区中医院全院快递及医共体一体化物流服务</w:t>
      </w:r>
    </w:p>
    <w:p w14:paraId="5AA0D77B">
      <w:pPr>
        <w:spacing w:line="360" w:lineRule="auto"/>
        <w:ind w:firstLine="643" w:firstLineChars="200"/>
        <w:jc w:val="left"/>
        <w:rPr>
          <w:rFonts w:hint="eastAsia" w:ascii="仿宋" w:hAnsi="仿宋" w:eastAsia="仿宋" w:cs="仿宋"/>
          <w:b/>
          <w:bCs/>
          <w:color w:val="auto"/>
          <w:sz w:val="32"/>
          <w:szCs w:val="32"/>
          <w:highlight w:val="none"/>
          <w:lang w:eastAsia="zh-CN"/>
        </w:rPr>
      </w:pPr>
      <w:bookmarkStart w:id="1" w:name="文件制作时间1"/>
      <w:bookmarkEnd w:id="1"/>
      <w:r>
        <w:rPr>
          <w:rFonts w:hint="eastAsia" w:ascii="仿宋" w:hAnsi="仿宋" w:eastAsia="仿宋" w:cs="仿宋"/>
          <w:b/>
          <w:bCs/>
          <w:color w:val="auto"/>
          <w:sz w:val="32"/>
          <w:szCs w:val="32"/>
          <w:highlight w:val="none"/>
          <w:lang w:val="en-US" w:eastAsia="zh-CN"/>
        </w:rPr>
        <w:t>院方：南京市溧水区中医院</w:t>
      </w:r>
    </w:p>
    <w:p w14:paraId="36AA5581">
      <w:pPr>
        <w:spacing w:line="360" w:lineRule="auto"/>
        <w:jc w:val="center"/>
        <w:rPr>
          <w:rFonts w:hint="eastAsia" w:ascii="仿宋" w:hAnsi="仿宋" w:eastAsia="仿宋" w:cs="仿宋"/>
          <w:b/>
          <w:bCs/>
          <w:color w:val="auto"/>
          <w:sz w:val="32"/>
          <w:szCs w:val="32"/>
          <w:highlight w:val="none"/>
          <w:lang w:val="en-US" w:eastAsia="zh-CN"/>
        </w:rPr>
      </w:pPr>
    </w:p>
    <w:p w14:paraId="08980E24">
      <w:pPr>
        <w:spacing w:line="360" w:lineRule="auto"/>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二○二六年十月</w:t>
      </w:r>
    </w:p>
    <w:p w14:paraId="5B42444B">
      <w:pPr>
        <w:spacing w:line="480" w:lineRule="auto"/>
        <w:jc w:val="center"/>
        <w:outlineLvl w:val="0"/>
        <w:rPr>
          <w:rFonts w:ascii="宋体" w:hAnsi="宋体"/>
          <w:b/>
          <w:color w:val="auto"/>
          <w:sz w:val="44"/>
          <w:highlight w:val="none"/>
        </w:rPr>
      </w:pPr>
      <w:r>
        <w:rPr>
          <w:rFonts w:hint="eastAsia" w:ascii="宋体" w:hAnsi="宋体"/>
          <w:b/>
          <w:color w:val="auto"/>
          <w:sz w:val="44"/>
          <w:highlight w:val="none"/>
        </w:rPr>
        <w:t>目    录</w:t>
      </w:r>
    </w:p>
    <w:p w14:paraId="6A83B57B">
      <w:pPr>
        <w:jc w:val="center"/>
        <w:rPr>
          <w:rFonts w:eastAsia="仿宋_GB2312"/>
          <w:b/>
          <w:color w:val="auto"/>
          <w:sz w:val="30"/>
          <w:szCs w:val="30"/>
          <w:highlight w:val="none"/>
        </w:rPr>
      </w:pPr>
    </w:p>
    <w:p w14:paraId="0101120D">
      <w:pPr>
        <w:spacing w:line="360" w:lineRule="auto"/>
        <w:ind w:left="227"/>
        <w:outlineLvl w:val="0"/>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 xml:space="preserve">第一章  </w:t>
      </w:r>
      <w:r>
        <w:rPr>
          <w:rFonts w:hint="eastAsia" w:ascii="仿宋" w:hAnsi="仿宋" w:eastAsia="仿宋" w:cs="仿宋"/>
          <w:b/>
          <w:bCs/>
          <w:color w:val="auto"/>
          <w:sz w:val="30"/>
          <w:szCs w:val="30"/>
          <w:highlight w:val="none"/>
          <w:lang w:eastAsia="zh-CN"/>
        </w:rPr>
        <w:t>遴选</w:t>
      </w:r>
      <w:r>
        <w:rPr>
          <w:rFonts w:hint="eastAsia" w:ascii="仿宋" w:hAnsi="仿宋" w:eastAsia="仿宋" w:cs="仿宋"/>
          <w:b/>
          <w:bCs/>
          <w:color w:val="auto"/>
          <w:sz w:val="30"/>
          <w:szCs w:val="30"/>
          <w:highlight w:val="none"/>
          <w:lang w:val="en-US" w:eastAsia="zh-CN"/>
        </w:rPr>
        <w:t>公告</w:t>
      </w:r>
    </w:p>
    <w:p w14:paraId="12EA01ED">
      <w:pPr>
        <w:spacing w:line="360" w:lineRule="auto"/>
        <w:ind w:left="227"/>
        <w:outlineLvl w:val="0"/>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 xml:space="preserve">第二章  </w:t>
      </w:r>
      <w:r>
        <w:rPr>
          <w:rFonts w:hint="eastAsia" w:ascii="仿宋" w:hAnsi="仿宋" w:eastAsia="仿宋" w:cs="仿宋"/>
          <w:b/>
          <w:bCs/>
          <w:color w:val="auto"/>
          <w:sz w:val="30"/>
          <w:szCs w:val="30"/>
          <w:highlight w:val="none"/>
          <w:lang w:val="en-US" w:eastAsia="zh-CN"/>
        </w:rPr>
        <w:t>前附表</w:t>
      </w:r>
    </w:p>
    <w:p w14:paraId="6F399FD6">
      <w:pPr>
        <w:spacing w:line="360" w:lineRule="auto"/>
        <w:ind w:left="227"/>
        <w:outlineLvl w:val="0"/>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 xml:space="preserve">第三章  </w:t>
      </w:r>
      <w:r>
        <w:rPr>
          <w:rFonts w:hint="eastAsia" w:ascii="仿宋" w:hAnsi="仿宋" w:eastAsia="仿宋" w:cs="仿宋"/>
          <w:b/>
          <w:bCs/>
          <w:color w:val="auto"/>
          <w:sz w:val="30"/>
          <w:szCs w:val="30"/>
          <w:highlight w:val="none"/>
          <w:lang w:val="en-US" w:eastAsia="zh-CN"/>
        </w:rPr>
        <w:t>参与遴选供应商须知</w:t>
      </w:r>
    </w:p>
    <w:p w14:paraId="16CD0442">
      <w:pPr>
        <w:spacing w:line="360" w:lineRule="auto"/>
        <w:ind w:left="227"/>
        <w:outlineLvl w:val="0"/>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val="en-US" w:eastAsia="zh-CN"/>
        </w:rPr>
        <w:t xml:space="preserve">第四章  </w:t>
      </w:r>
      <w:r>
        <w:rPr>
          <w:rFonts w:hint="eastAsia" w:ascii="仿宋" w:hAnsi="仿宋" w:eastAsia="仿宋" w:cs="仿宋"/>
          <w:b/>
          <w:bCs/>
          <w:color w:val="auto"/>
          <w:sz w:val="30"/>
          <w:szCs w:val="30"/>
          <w:highlight w:val="none"/>
          <w:lang w:eastAsia="zh-CN"/>
        </w:rPr>
        <w:t>评审标准</w:t>
      </w:r>
    </w:p>
    <w:p w14:paraId="3B910052">
      <w:pPr>
        <w:spacing w:line="360" w:lineRule="auto"/>
        <w:ind w:left="227"/>
        <w:outlineLvl w:val="0"/>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第五章  遴选需求</w:t>
      </w:r>
    </w:p>
    <w:p w14:paraId="30A3B15C">
      <w:pPr>
        <w:spacing w:line="360" w:lineRule="auto"/>
        <w:ind w:left="227"/>
        <w:outlineLvl w:val="0"/>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第六章  拟签订的合同条款</w:t>
      </w:r>
    </w:p>
    <w:p w14:paraId="2CD2D193">
      <w:pPr>
        <w:spacing w:line="360" w:lineRule="auto"/>
        <w:ind w:left="227"/>
        <w:outlineLvl w:val="0"/>
        <w:rPr>
          <w:rFonts w:hint="default"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第七章  响应文件格式及附件</w:t>
      </w:r>
    </w:p>
    <w:p w14:paraId="0C1BB086">
      <w:pPr>
        <w:ind w:left="227"/>
        <w:outlineLvl w:val="0"/>
        <w:rPr>
          <w:rFonts w:ascii="黑体" w:eastAsia="黑体" w:cs="黑体"/>
          <w:color w:val="auto"/>
          <w:sz w:val="32"/>
          <w:szCs w:val="32"/>
          <w:highlight w:val="none"/>
        </w:rPr>
      </w:pPr>
    </w:p>
    <w:p w14:paraId="4EA95ADD">
      <w:pPr>
        <w:jc w:val="center"/>
        <w:rPr>
          <w:rFonts w:ascii="黑体" w:eastAsia="黑体" w:cs="黑体"/>
          <w:color w:val="auto"/>
          <w:sz w:val="32"/>
          <w:szCs w:val="32"/>
          <w:highlight w:val="none"/>
        </w:rPr>
      </w:pPr>
    </w:p>
    <w:p w14:paraId="5CBB0250">
      <w:pPr>
        <w:jc w:val="center"/>
        <w:rPr>
          <w:rFonts w:ascii="黑体" w:eastAsia="黑体" w:cs="黑体"/>
          <w:color w:val="auto"/>
          <w:sz w:val="32"/>
          <w:szCs w:val="32"/>
          <w:highlight w:val="none"/>
        </w:rPr>
      </w:pPr>
    </w:p>
    <w:p w14:paraId="6EC52A99">
      <w:pPr>
        <w:jc w:val="center"/>
        <w:outlineLvl w:val="0"/>
        <w:rPr>
          <w:rFonts w:hint="eastAsia" w:ascii="宋体" w:hAnsi="宋体" w:cs="黑体"/>
          <w:b/>
          <w:color w:val="auto"/>
          <w:sz w:val="36"/>
          <w:szCs w:val="36"/>
          <w:highlight w:val="none"/>
        </w:rPr>
      </w:pPr>
    </w:p>
    <w:p w14:paraId="6C5ACE40">
      <w:pPr>
        <w:jc w:val="center"/>
        <w:outlineLvl w:val="0"/>
        <w:rPr>
          <w:rFonts w:hint="eastAsia" w:ascii="宋体" w:hAnsi="宋体" w:cs="黑体"/>
          <w:b/>
          <w:color w:val="auto"/>
          <w:sz w:val="36"/>
          <w:szCs w:val="36"/>
          <w:highlight w:val="none"/>
        </w:rPr>
      </w:pPr>
    </w:p>
    <w:p w14:paraId="6CCD4899">
      <w:pPr>
        <w:jc w:val="center"/>
        <w:outlineLvl w:val="0"/>
        <w:rPr>
          <w:rFonts w:hint="eastAsia" w:ascii="宋体" w:hAnsi="宋体" w:cs="黑体"/>
          <w:b/>
          <w:color w:val="auto"/>
          <w:sz w:val="36"/>
          <w:szCs w:val="36"/>
          <w:highlight w:val="none"/>
        </w:rPr>
      </w:pPr>
    </w:p>
    <w:p w14:paraId="2EEA5941">
      <w:pPr>
        <w:jc w:val="center"/>
        <w:outlineLvl w:val="0"/>
        <w:rPr>
          <w:rFonts w:hint="eastAsia" w:ascii="宋体" w:hAnsi="宋体" w:cs="黑体"/>
          <w:b/>
          <w:color w:val="auto"/>
          <w:sz w:val="36"/>
          <w:szCs w:val="36"/>
          <w:highlight w:val="none"/>
        </w:rPr>
      </w:pPr>
    </w:p>
    <w:p w14:paraId="49A7C748">
      <w:pPr>
        <w:jc w:val="center"/>
        <w:outlineLvl w:val="0"/>
        <w:rPr>
          <w:rFonts w:hint="eastAsia" w:ascii="宋体" w:hAnsi="宋体" w:cs="黑体"/>
          <w:b/>
          <w:color w:val="auto"/>
          <w:sz w:val="36"/>
          <w:szCs w:val="36"/>
          <w:highlight w:val="none"/>
        </w:rPr>
      </w:pPr>
    </w:p>
    <w:p w14:paraId="411821F7">
      <w:pPr>
        <w:jc w:val="center"/>
        <w:outlineLvl w:val="0"/>
        <w:rPr>
          <w:rFonts w:hint="eastAsia" w:ascii="宋体" w:hAnsi="宋体" w:cs="黑体"/>
          <w:b/>
          <w:color w:val="auto"/>
          <w:sz w:val="36"/>
          <w:szCs w:val="36"/>
          <w:highlight w:val="none"/>
        </w:rPr>
      </w:pPr>
    </w:p>
    <w:p w14:paraId="24A6781D">
      <w:pPr>
        <w:jc w:val="center"/>
        <w:outlineLvl w:val="0"/>
        <w:rPr>
          <w:rFonts w:hint="eastAsia" w:ascii="宋体" w:hAnsi="宋体" w:cs="黑体"/>
          <w:b/>
          <w:color w:val="auto"/>
          <w:sz w:val="36"/>
          <w:szCs w:val="36"/>
          <w:highlight w:val="none"/>
        </w:rPr>
      </w:pPr>
    </w:p>
    <w:p w14:paraId="119D5D30">
      <w:pPr>
        <w:jc w:val="center"/>
        <w:outlineLvl w:val="0"/>
        <w:rPr>
          <w:rFonts w:hint="eastAsia" w:ascii="宋体" w:hAnsi="宋体" w:cs="黑体"/>
          <w:b/>
          <w:color w:val="auto"/>
          <w:sz w:val="36"/>
          <w:szCs w:val="36"/>
          <w:highlight w:val="none"/>
        </w:rPr>
      </w:pPr>
    </w:p>
    <w:p w14:paraId="44681788">
      <w:pPr>
        <w:jc w:val="center"/>
        <w:outlineLvl w:val="0"/>
        <w:rPr>
          <w:rFonts w:hint="eastAsia" w:ascii="宋体" w:hAnsi="宋体" w:cs="黑体"/>
          <w:b/>
          <w:color w:val="auto"/>
          <w:sz w:val="36"/>
          <w:szCs w:val="36"/>
          <w:highlight w:val="none"/>
        </w:rPr>
      </w:pPr>
    </w:p>
    <w:p w14:paraId="2416BB63">
      <w:pPr>
        <w:jc w:val="center"/>
        <w:outlineLvl w:val="0"/>
        <w:rPr>
          <w:rFonts w:hint="eastAsia" w:ascii="宋体" w:hAnsi="宋体" w:cs="黑体"/>
          <w:b/>
          <w:color w:val="auto"/>
          <w:sz w:val="36"/>
          <w:szCs w:val="36"/>
          <w:highlight w:val="none"/>
        </w:rPr>
      </w:pPr>
    </w:p>
    <w:p w14:paraId="40D0DC67">
      <w:pPr>
        <w:jc w:val="center"/>
        <w:outlineLvl w:val="0"/>
        <w:rPr>
          <w:rFonts w:hint="eastAsia" w:ascii="宋体" w:hAnsi="宋体" w:cs="黑体"/>
          <w:b/>
          <w:color w:val="auto"/>
          <w:sz w:val="36"/>
          <w:szCs w:val="36"/>
          <w:highlight w:val="none"/>
        </w:rPr>
      </w:pPr>
    </w:p>
    <w:p w14:paraId="7E8B06EA">
      <w:pPr>
        <w:jc w:val="center"/>
        <w:outlineLvl w:val="0"/>
        <w:rPr>
          <w:rFonts w:hint="eastAsia" w:ascii="宋体" w:hAnsi="宋体" w:cs="黑体"/>
          <w:b/>
          <w:color w:val="auto"/>
          <w:sz w:val="36"/>
          <w:szCs w:val="36"/>
          <w:highlight w:val="none"/>
        </w:rPr>
      </w:pPr>
    </w:p>
    <w:p w14:paraId="2F18BDA5">
      <w:pPr>
        <w:jc w:val="center"/>
        <w:outlineLvl w:val="0"/>
        <w:rPr>
          <w:rFonts w:hint="eastAsia" w:ascii="宋体" w:hAnsi="宋体" w:cs="黑体"/>
          <w:b/>
          <w:color w:val="auto"/>
          <w:sz w:val="36"/>
          <w:szCs w:val="36"/>
          <w:highlight w:val="none"/>
        </w:rPr>
      </w:pPr>
    </w:p>
    <w:p w14:paraId="310D5CE8">
      <w:pPr>
        <w:jc w:val="center"/>
        <w:outlineLvl w:val="0"/>
        <w:rPr>
          <w:rFonts w:hint="eastAsia" w:ascii="宋体" w:hAnsi="宋体" w:cs="黑体"/>
          <w:b/>
          <w:color w:val="auto"/>
          <w:sz w:val="36"/>
          <w:szCs w:val="36"/>
          <w:highlight w:val="none"/>
        </w:rPr>
      </w:pPr>
    </w:p>
    <w:p w14:paraId="1615C74F">
      <w:pPr>
        <w:jc w:val="center"/>
        <w:outlineLvl w:val="0"/>
        <w:rPr>
          <w:rFonts w:hint="eastAsia" w:ascii="宋体" w:hAnsi="宋体" w:cs="黑体"/>
          <w:b/>
          <w:color w:val="auto"/>
          <w:sz w:val="36"/>
          <w:szCs w:val="36"/>
          <w:highlight w:val="none"/>
        </w:rPr>
      </w:pPr>
    </w:p>
    <w:p w14:paraId="49D30A6A">
      <w:pPr>
        <w:keepNext w:val="0"/>
        <w:keepLines w:val="0"/>
        <w:pageBreakBefore w:val="0"/>
        <w:overflowPunct/>
        <w:topLinePunct w:val="0"/>
        <w:bidi w:val="0"/>
        <w:spacing w:line="400" w:lineRule="exact"/>
        <w:jc w:val="center"/>
        <w:outlineLvl w:val="0"/>
        <w:rPr>
          <w:rFonts w:hint="eastAsia" w:ascii="宋体" w:hAnsi="宋体" w:eastAsia="宋体"/>
          <w:b/>
          <w:color w:val="auto"/>
          <w:sz w:val="36"/>
          <w:szCs w:val="36"/>
          <w:highlight w:val="none"/>
          <w:lang w:eastAsia="zh-CN"/>
        </w:rPr>
      </w:pPr>
      <w:r>
        <w:rPr>
          <w:rFonts w:hint="eastAsia" w:ascii="宋体" w:hAnsi="宋体" w:cs="黑体"/>
          <w:b/>
          <w:color w:val="auto"/>
          <w:sz w:val="36"/>
          <w:szCs w:val="36"/>
          <w:highlight w:val="none"/>
        </w:rPr>
        <w:t>第一章</w:t>
      </w:r>
      <w:r>
        <w:rPr>
          <w:rFonts w:ascii="宋体" w:hAnsi="宋体" w:cs="黑体"/>
          <w:b/>
          <w:color w:val="auto"/>
          <w:sz w:val="36"/>
          <w:szCs w:val="36"/>
          <w:highlight w:val="none"/>
        </w:rPr>
        <w:t xml:space="preserve"> </w:t>
      </w:r>
      <w:r>
        <w:rPr>
          <w:rFonts w:hint="eastAsia" w:ascii="宋体" w:hAnsi="宋体" w:cs="黑体"/>
          <w:b/>
          <w:color w:val="auto"/>
          <w:sz w:val="36"/>
          <w:szCs w:val="36"/>
          <w:highlight w:val="none"/>
          <w:lang w:eastAsia="zh-CN"/>
        </w:rPr>
        <w:t>遴选</w:t>
      </w:r>
      <w:r>
        <w:rPr>
          <w:rFonts w:hint="eastAsia" w:ascii="宋体" w:hAnsi="宋体" w:cs="黑体"/>
          <w:b/>
          <w:color w:val="auto"/>
          <w:sz w:val="36"/>
          <w:szCs w:val="36"/>
          <w:highlight w:val="none"/>
          <w:lang w:val="en-US" w:eastAsia="zh-CN"/>
        </w:rPr>
        <w:t>公告</w:t>
      </w:r>
    </w:p>
    <w:p w14:paraId="4171CC69">
      <w:pPr>
        <w:keepNext w:val="0"/>
        <w:keepLines w:val="0"/>
        <w:pageBreakBefore w:val="0"/>
        <w:overflowPunct/>
        <w:topLinePunct w:val="0"/>
        <w:bidi w:val="0"/>
        <w:spacing w:before="136" w:line="400" w:lineRule="exact"/>
        <w:rPr>
          <w:color w:val="auto"/>
          <w:highlight w:val="none"/>
        </w:rPr>
      </w:pPr>
    </w:p>
    <w:p w14:paraId="606D5781">
      <w:pPr>
        <w:keepNext w:val="0"/>
        <w:keepLines w:val="0"/>
        <w:pageBreakBefore w:val="0"/>
        <w:widowControl w:val="0"/>
        <w:kinsoku/>
        <w:wordWrap/>
        <w:overflowPunct/>
        <w:topLinePunct w:val="0"/>
        <w:autoSpaceDE/>
        <w:autoSpaceDN/>
        <w:bidi w:val="0"/>
        <w:adjustRightInd/>
        <w:snapToGrid/>
        <w:spacing w:line="400" w:lineRule="exact"/>
        <w:ind w:left="116" w:right="87" w:firstLine="549"/>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lang w:eastAsia="zh-CN"/>
        </w:rPr>
        <w:t>优化南京市溧水区中医院（以下简称“院方”）</w:t>
      </w:r>
      <w:r>
        <w:rPr>
          <w:rFonts w:hint="eastAsia" w:ascii="仿宋" w:hAnsi="仿宋" w:eastAsia="仿宋" w:cs="仿宋"/>
          <w:color w:val="auto"/>
          <w:sz w:val="28"/>
          <w:szCs w:val="28"/>
          <w:highlight w:val="none"/>
        </w:rPr>
        <w:t>快递及医共体物流工作，择优遴选1家综合实力匹配的快递物流服务商，承接全院多板块寄递与医共体内部流转配送业务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我院</w:t>
      </w:r>
      <w:r>
        <w:rPr>
          <w:rFonts w:hint="eastAsia" w:ascii="仿宋" w:hAnsi="仿宋" w:eastAsia="仿宋" w:cs="仿宋"/>
          <w:color w:val="auto"/>
          <w:sz w:val="28"/>
          <w:szCs w:val="28"/>
          <w:highlight w:val="none"/>
          <w:lang w:eastAsia="zh-CN"/>
        </w:rPr>
        <w:t>就南京市溧水区中医院全院快递及医共体一体化物流服务</w:t>
      </w:r>
      <w:r>
        <w:rPr>
          <w:rFonts w:hint="eastAsia" w:ascii="仿宋" w:hAnsi="仿宋" w:eastAsia="仿宋" w:cs="仿宋"/>
          <w:color w:val="auto"/>
          <w:sz w:val="28"/>
          <w:szCs w:val="28"/>
          <w:highlight w:val="none"/>
          <w:lang w:val="en-US" w:eastAsia="zh-CN"/>
        </w:rPr>
        <w:t>项目进行公开遴选</w:t>
      </w:r>
      <w:r>
        <w:rPr>
          <w:rFonts w:ascii="仿宋" w:hAnsi="仿宋" w:eastAsia="仿宋" w:cs="仿宋"/>
          <w:color w:val="auto"/>
          <w:sz w:val="28"/>
          <w:szCs w:val="28"/>
          <w:highlight w:val="none"/>
        </w:rPr>
        <w:t>，</w:t>
      </w:r>
      <w:r>
        <w:rPr>
          <w:rFonts w:hint="eastAsia" w:ascii="仿宋" w:hAnsi="仿宋" w:eastAsia="仿宋" w:cs="仿宋"/>
          <w:color w:val="auto"/>
          <w:sz w:val="28"/>
          <w:szCs w:val="28"/>
          <w:highlight w:val="none"/>
        </w:rPr>
        <w:t>现邀请符合资格条件的</w:t>
      </w:r>
      <w:r>
        <w:rPr>
          <w:rFonts w:hint="eastAsia" w:ascii="仿宋" w:hAnsi="仿宋" w:eastAsia="仿宋" w:cs="仿宋"/>
          <w:color w:val="auto"/>
          <w:sz w:val="28"/>
          <w:szCs w:val="28"/>
          <w:highlight w:val="none"/>
          <w:lang w:val="en-US" w:eastAsia="zh-CN"/>
        </w:rPr>
        <w:t>供应商获取遴选文件并参与本项目遴选</w:t>
      </w:r>
      <w:r>
        <w:rPr>
          <w:rFonts w:ascii="仿宋" w:hAnsi="仿宋" w:eastAsia="仿宋" w:cs="仿宋"/>
          <w:color w:val="auto"/>
          <w:sz w:val="28"/>
          <w:szCs w:val="28"/>
          <w:highlight w:val="none"/>
        </w:rPr>
        <w:t>。</w:t>
      </w:r>
    </w:p>
    <w:p w14:paraId="35AF8AB9">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pacing w:val="-2"/>
          <w:sz w:val="28"/>
          <w:szCs w:val="28"/>
          <w:highlight w:val="none"/>
        </w:rPr>
        <w:t>一、项目基本情况</w:t>
      </w:r>
    </w:p>
    <w:p w14:paraId="4D2F8ED7">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val="en-US" w:eastAsia="zh-CN"/>
        </w:rPr>
        <w:t>1.</w:t>
      </w:r>
      <w:r>
        <w:rPr>
          <w:rFonts w:ascii="仿宋" w:hAnsi="仿宋" w:eastAsia="仿宋" w:cs="仿宋"/>
          <w:color w:val="auto"/>
          <w:spacing w:val="-1"/>
          <w:sz w:val="28"/>
          <w:szCs w:val="28"/>
          <w:highlight w:val="none"/>
        </w:rPr>
        <w:t>项目名称：</w:t>
      </w:r>
      <w:r>
        <w:rPr>
          <w:rFonts w:hint="eastAsia" w:ascii="仿宋" w:hAnsi="仿宋" w:eastAsia="仿宋" w:cs="仿宋"/>
          <w:color w:val="auto"/>
          <w:spacing w:val="-1"/>
          <w:sz w:val="28"/>
          <w:szCs w:val="28"/>
          <w:highlight w:val="none"/>
          <w:lang w:eastAsia="zh-CN"/>
        </w:rPr>
        <w:t>南京市溧水区中医院全院快递及医共体一体化物流服务</w:t>
      </w:r>
    </w:p>
    <w:p w14:paraId="470EAAE6">
      <w:pPr>
        <w:keepNext w:val="0"/>
        <w:keepLines w:val="0"/>
        <w:pageBreakBefore w:val="0"/>
        <w:widowControl w:val="0"/>
        <w:kinsoku/>
        <w:wordWrap/>
        <w:overflowPunct/>
        <w:topLinePunct w:val="0"/>
        <w:autoSpaceDE/>
        <w:autoSpaceDN/>
        <w:bidi w:val="0"/>
        <w:adjustRightInd/>
        <w:snapToGrid/>
        <w:spacing w:line="400" w:lineRule="exact"/>
        <w:ind w:right="87" w:firstLine="544" w:firstLineChars="200"/>
        <w:textAlignment w:val="auto"/>
        <w:rPr>
          <w:rFonts w:ascii="仿宋" w:hAnsi="仿宋" w:eastAsia="仿宋" w:cs="仿宋"/>
          <w:color w:val="auto"/>
          <w:spacing w:val="-4"/>
          <w:sz w:val="28"/>
          <w:szCs w:val="28"/>
          <w:highlight w:val="none"/>
        </w:rPr>
      </w:pPr>
      <w:r>
        <w:rPr>
          <w:rFonts w:hint="eastAsia" w:ascii="仿宋" w:hAnsi="仿宋" w:eastAsia="仿宋" w:cs="仿宋"/>
          <w:color w:val="auto"/>
          <w:spacing w:val="-4"/>
          <w:sz w:val="28"/>
          <w:szCs w:val="28"/>
          <w:highlight w:val="none"/>
          <w:lang w:val="en-US" w:eastAsia="zh-CN"/>
        </w:rPr>
        <w:t>2.</w:t>
      </w:r>
      <w:r>
        <w:rPr>
          <w:rFonts w:hint="eastAsia" w:ascii="仿宋" w:hAnsi="仿宋" w:eastAsia="仿宋" w:cs="仿宋"/>
          <w:color w:val="auto"/>
          <w:spacing w:val="-4"/>
          <w:sz w:val="28"/>
          <w:szCs w:val="28"/>
          <w:highlight w:val="none"/>
        </w:rPr>
        <w:t>服务覆盖业务板块</w:t>
      </w:r>
      <w:r>
        <w:rPr>
          <w:rFonts w:hint="eastAsia" w:ascii="仿宋" w:hAnsi="仿宋" w:eastAsia="仿宋" w:cs="仿宋"/>
          <w:color w:val="auto"/>
          <w:spacing w:val="-4"/>
          <w:sz w:val="28"/>
          <w:szCs w:val="28"/>
          <w:highlight w:val="none"/>
          <w:lang w:val="en-US" w:eastAsia="zh-CN"/>
        </w:rPr>
        <w:t>：</w:t>
      </w:r>
    </w:p>
    <w:p w14:paraId="4654701B">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（1）药房：西药、中成药、中草药、代煎汤剂、中药配方颗粒、膏方等药品打包寄递、配送到家；</w:t>
      </w:r>
    </w:p>
    <w:p w14:paraId="0E784EF7">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（2）共享云药房：线上处方药品配送到家；</w:t>
      </w:r>
    </w:p>
    <w:p w14:paraId="27BF58EF">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（3）互联网医院：线上问诊处方药品、病历复印等寄递配送；</w:t>
      </w:r>
    </w:p>
    <w:p w14:paraId="6816D873">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（4）溧膳堂：相关产品的对外寄送；</w:t>
      </w:r>
    </w:p>
    <w:p w14:paraId="56753B19">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（5）全院各临床、职能科室：公文信函、档案资料、医用文书、血液标本、病理标本、医用耗材、物资文件等的寄递。</w:t>
      </w:r>
    </w:p>
    <w:p w14:paraId="36388C36">
      <w:pPr>
        <w:keepNext w:val="0"/>
        <w:keepLines w:val="0"/>
        <w:pageBreakBefore w:val="0"/>
        <w:widowControl w:val="0"/>
        <w:kinsoku/>
        <w:wordWrap/>
        <w:overflowPunct/>
        <w:topLinePunct w:val="0"/>
        <w:autoSpaceDE/>
        <w:autoSpaceDN/>
        <w:bidi w:val="0"/>
        <w:adjustRightInd/>
        <w:snapToGrid/>
        <w:spacing w:line="400" w:lineRule="exact"/>
        <w:ind w:right="87"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lang w:eastAsia="zh-CN"/>
        </w:rPr>
        <w:t>遴选</w:t>
      </w:r>
      <w:r>
        <w:rPr>
          <w:rFonts w:ascii="仿宋" w:hAnsi="仿宋" w:eastAsia="仿宋" w:cs="仿宋"/>
          <w:color w:val="auto"/>
          <w:sz w:val="28"/>
          <w:szCs w:val="28"/>
          <w:highlight w:val="none"/>
        </w:rPr>
        <w:t>需求：</w:t>
      </w:r>
    </w:p>
    <w:p w14:paraId="4F14E062">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（1）提供收派件服务，日常上门揽收、打包、分拣、派送，支持同城急送、跨省快递等服务；</w:t>
      </w:r>
    </w:p>
    <w:p w14:paraId="43EE9B00">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（2）全流程货物溯源、台账登记、隐私信息加密，杜绝病历、患者处方、个人信息泄露。</w:t>
      </w:r>
    </w:p>
    <w:p w14:paraId="22C72CAC">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（3）服务商须配备无人快递车，用于医院与固定地点间的点对点无人化转运药品、文书、小件物资等，支持自动导航、避障、扫码取件、轨迹溯源、后台调度管理等功能。</w:t>
      </w:r>
    </w:p>
    <w:p w14:paraId="790BBE96">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4.</w:t>
      </w:r>
      <w:r>
        <w:rPr>
          <w:rFonts w:hint="eastAsia" w:ascii="仿宋" w:hAnsi="仿宋" w:eastAsia="仿宋" w:cs="仿宋"/>
          <w:color w:val="auto"/>
          <w:spacing w:val="-1"/>
          <w:sz w:val="28"/>
          <w:szCs w:val="28"/>
          <w:highlight w:val="none"/>
        </w:rPr>
        <w:t>合同服务期限</w:t>
      </w:r>
      <w:r>
        <w:rPr>
          <w:rFonts w:hint="eastAsia" w:ascii="仿宋" w:hAnsi="仿宋" w:eastAsia="仿宋" w:cs="仿宋"/>
          <w:color w:val="auto"/>
          <w:spacing w:val="-1"/>
          <w:sz w:val="28"/>
          <w:szCs w:val="28"/>
          <w:highlight w:val="none"/>
          <w:lang w:eastAsia="zh-CN"/>
        </w:rPr>
        <w:t>：</w:t>
      </w:r>
      <w:r>
        <w:rPr>
          <w:rFonts w:hint="eastAsia" w:ascii="仿宋" w:hAnsi="仿宋" w:eastAsia="仿宋" w:cs="仿宋"/>
          <w:color w:val="auto"/>
          <w:spacing w:val="-1"/>
          <w:sz w:val="28"/>
          <w:szCs w:val="28"/>
          <w:highlight w:val="none"/>
          <w:lang w:val="en-US" w:eastAsia="zh-CN"/>
        </w:rPr>
        <w:t>三年，合同一年一签。</w:t>
      </w:r>
      <w:bookmarkStart w:id="9" w:name="_GoBack"/>
      <w:bookmarkEnd w:id="9"/>
    </w:p>
    <w:p w14:paraId="12ED865D">
      <w:pPr>
        <w:keepNext w:val="0"/>
        <w:keepLines w:val="0"/>
        <w:pageBreakBefore w:val="0"/>
        <w:widowControl w:val="0"/>
        <w:kinsoku/>
        <w:wordWrap/>
        <w:overflowPunct/>
        <w:topLinePunct w:val="0"/>
        <w:autoSpaceDE/>
        <w:autoSpaceDN/>
        <w:bidi w:val="0"/>
        <w:adjustRightInd/>
        <w:snapToGrid/>
        <w:spacing w:line="400" w:lineRule="exact"/>
        <w:ind w:firstLine="556"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val="en-US" w:eastAsia="zh-CN"/>
        </w:rPr>
        <w:t>5.</w:t>
      </w:r>
      <w:r>
        <w:rPr>
          <w:rFonts w:ascii="仿宋" w:hAnsi="仿宋" w:eastAsia="仿宋" w:cs="仿宋"/>
          <w:color w:val="auto"/>
          <w:spacing w:val="-1"/>
          <w:sz w:val="28"/>
          <w:szCs w:val="28"/>
          <w:highlight w:val="none"/>
        </w:rPr>
        <w:t>是否接受联合体：本项目不接受联合体</w:t>
      </w:r>
      <w:r>
        <w:rPr>
          <w:rFonts w:hint="eastAsia" w:ascii="仿宋" w:hAnsi="仿宋" w:eastAsia="仿宋" w:cs="仿宋"/>
          <w:color w:val="auto"/>
          <w:spacing w:val="-1"/>
          <w:sz w:val="28"/>
          <w:szCs w:val="28"/>
          <w:highlight w:val="none"/>
          <w:lang w:eastAsia="zh-CN"/>
        </w:rPr>
        <w:t>。</w:t>
      </w:r>
    </w:p>
    <w:p w14:paraId="4FDFE016">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pacing w:val="-2"/>
          <w:sz w:val="28"/>
          <w:szCs w:val="28"/>
          <w:highlight w:val="none"/>
        </w:rPr>
      </w:pPr>
      <w:r>
        <w:rPr>
          <w:rFonts w:hint="eastAsia" w:ascii="仿宋" w:hAnsi="仿宋" w:eastAsia="仿宋" w:cs="仿宋"/>
          <w:b/>
          <w:bCs/>
          <w:color w:val="auto"/>
          <w:spacing w:val="-2"/>
          <w:sz w:val="28"/>
          <w:szCs w:val="28"/>
          <w:highlight w:val="none"/>
        </w:rPr>
        <w:t>二、申请人的资格要求</w:t>
      </w:r>
    </w:p>
    <w:p w14:paraId="0938B152">
      <w:pPr>
        <w:keepNext w:val="0"/>
        <w:keepLines w:val="0"/>
        <w:pageBreakBefore w:val="0"/>
        <w:widowControl w:val="0"/>
        <w:kinsoku/>
        <w:wordWrap/>
        <w:overflowPunct/>
        <w:topLinePunct w:val="0"/>
        <w:autoSpaceDE/>
        <w:autoSpaceDN/>
        <w:bidi w:val="0"/>
        <w:adjustRightInd/>
        <w:snapToGrid/>
        <w:spacing w:line="400" w:lineRule="exact"/>
        <w:ind w:right="87" w:firstLine="564" w:firstLineChars="200"/>
        <w:textAlignment w:val="auto"/>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lang w:eastAsia="zh-CN"/>
        </w:rPr>
        <w:t>具有独立承担民事责任的能力（</w:t>
      </w:r>
      <w:r>
        <w:rPr>
          <w:rFonts w:hint="eastAsia" w:ascii="仿宋" w:hAnsi="仿宋" w:eastAsia="仿宋" w:cs="仿宋"/>
          <w:color w:val="auto"/>
          <w:spacing w:val="1"/>
          <w:sz w:val="28"/>
          <w:szCs w:val="28"/>
          <w:highlight w:val="none"/>
          <w:lang w:val="en-US" w:eastAsia="zh-CN"/>
        </w:rPr>
        <w:t>提供营业执照复印件并加盖公章。以分公司名义参与本项目的，分公司须经总公司授权，但其民事责任由总公司承担</w:t>
      </w:r>
      <w:r>
        <w:rPr>
          <w:rFonts w:hint="eastAsia" w:ascii="仿宋" w:hAnsi="仿宋" w:eastAsia="仿宋" w:cs="仿宋"/>
          <w:color w:val="auto"/>
          <w:spacing w:val="1"/>
          <w:sz w:val="28"/>
          <w:szCs w:val="28"/>
          <w:highlight w:val="none"/>
          <w:lang w:eastAsia="zh-CN"/>
        </w:rPr>
        <w:t>）。</w:t>
      </w:r>
    </w:p>
    <w:p w14:paraId="75220784">
      <w:pPr>
        <w:keepNext w:val="0"/>
        <w:keepLines w:val="0"/>
        <w:pageBreakBefore w:val="0"/>
        <w:widowControl w:val="0"/>
        <w:kinsoku/>
        <w:wordWrap/>
        <w:overflowPunct/>
        <w:topLinePunct w:val="0"/>
        <w:autoSpaceDE/>
        <w:autoSpaceDN/>
        <w:bidi w:val="0"/>
        <w:adjustRightInd/>
        <w:snapToGrid/>
        <w:spacing w:line="400" w:lineRule="exact"/>
        <w:ind w:right="87" w:firstLine="564" w:firstLineChars="200"/>
        <w:textAlignment w:val="auto"/>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val="en-US" w:eastAsia="zh-CN"/>
        </w:rPr>
        <w:t>2.供应商须具备快递业务经营许可资格（提供许可证复印件并加盖公章）。</w:t>
      </w:r>
    </w:p>
    <w:p w14:paraId="77F07E20">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pacing w:val="-2"/>
          <w:sz w:val="28"/>
          <w:szCs w:val="28"/>
          <w:highlight w:val="none"/>
        </w:rPr>
      </w:pPr>
      <w:r>
        <w:rPr>
          <w:rFonts w:hint="eastAsia" w:ascii="仿宋" w:hAnsi="仿宋" w:eastAsia="仿宋" w:cs="仿宋"/>
          <w:b/>
          <w:bCs/>
          <w:color w:val="auto"/>
          <w:spacing w:val="-2"/>
          <w:sz w:val="28"/>
          <w:szCs w:val="28"/>
          <w:highlight w:val="none"/>
        </w:rPr>
        <w:t>三、获取</w:t>
      </w:r>
      <w:r>
        <w:rPr>
          <w:rFonts w:hint="eastAsia" w:ascii="仿宋" w:hAnsi="仿宋" w:eastAsia="仿宋" w:cs="仿宋"/>
          <w:b/>
          <w:bCs/>
          <w:color w:val="auto"/>
          <w:spacing w:val="-2"/>
          <w:sz w:val="28"/>
          <w:szCs w:val="28"/>
          <w:highlight w:val="none"/>
          <w:lang w:eastAsia="zh-CN"/>
        </w:rPr>
        <w:t>遴选</w:t>
      </w:r>
      <w:r>
        <w:rPr>
          <w:rFonts w:hint="eastAsia" w:ascii="仿宋" w:hAnsi="仿宋" w:eastAsia="仿宋" w:cs="仿宋"/>
          <w:b/>
          <w:bCs/>
          <w:color w:val="auto"/>
          <w:spacing w:val="-2"/>
          <w:sz w:val="28"/>
          <w:szCs w:val="28"/>
          <w:highlight w:val="none"/>
        </w:rPr>
        <w:t>文件</w:t>
      </w:r>
    </w:p>
    <w:p w14:paraId="16C6E4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1.报名条件</w:t>
      </w:r>
    </w:p>
    <w:p w14:paraId="269A181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符合条件的供应商凭以下资料获取采购文件：</w:t>
      </w:r>
    </w:p>
    <w:p w14:paraId="7F3FA38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（1）法人或者其他组织的营业执照复印件加盖单位公章；</w:t>
      </w:r>
    </w:p>
    <w:p w14:paraId="542B9ED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（2）法人授权委托书及代理人身份证（正反面）复印件加盖单位公章；</w:t>
      </w:r>
    </w:p>
    <w:p w14:paraId="79E3FF5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2.报名时间与方式</w:t>
      </w:r>
    </w:p>
    <w:p w14:paraId="38599F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本项目采取线上报名方式，符合资格条件的供应商应自2026年10月15日至2026年10月21日17:00之前，将上述报名资料扫描件发送至</w:t>
      </w:r>
      <w:r>
        <w:rPr>
          <w:rFonts w:hint="eastAsia" w:ascii="仿宋" w:hAnsi="仿宋" w:eastAsia="仿宋" w:cs="仿宋"/>
          <w:color w:val="auto"/>
          <w:sz w:val="28"/>
          <w:szCs w:val="28"/>
          <w:highlight w:val="none"/>
          <w:lang w:val="en-US" w:eastAsia="zh-CN"/>
        </w:rPr>
        <w:t>927909019</w:t>
      </w:r>
      <w:r>
        <w:rPr>
          <w:rFonts w:hint="eastAsia" w:ascii="仿宋" w:hAnsi="仿宋" w:eastAsia="仿宋" w:cs="仿宋"/>
          <w:color w:val="auto"/>
          <w:spacing w:val="1"/>
          <w:sz w:val="28"/>
          <w:szCs w:val="28"/>
          <w:highlight w:val="none"/>
          <w:lang w:val="en-US" w:eastAsia="zh-CN"/>
        </w:rPr>
        <w:t>@qq.com 邮箱。本项目只接受报名的供应商参与遴选。（报名资料注明项目名称，盖章扫描件应保证内容清晰可见。）</w:t>
      </w:r>
    </w:p>
    <w:p w14:paraId="6B91AE9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3.获取采购文件的途径</w:t>
      </w:r>
    </w:p>
    <w:p w14:paraId="583440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即日起至递交响应文件截止时间前，通过南京市溧水区中医院(http://lsqzyy.cn/）官网免费下载。</w:t>
      </w:r>
    </w:p>
    <w:p w14:paraId="5AEC8BC6">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pacing w:val="-2"/>
          <w:sz w:val="28"/>
          <w:szCs w:val="28"/>
          <w:highlight w:val="none"/>
        </w:rPr>
      </w:pPr>
      <w:r>
        <w:rPr>
          <w:rFonts w:hint="eastAsia" w:ascii="仿宋" w:hAnsi="仿宋" w:eastAsia="仿宋" w:cs="仿宋"/>
          <w:b/>
          <w:bCs/>
          <w:color w:val="auto"/>
          <w:spacing w:val="-2"/>
          <w:sz w:val="28"/>
          <w:szCs w:val="28"/>
          <w:highlight w:val="none"/>
        </w:rPr>
        <w:t>四、</w:t>
      </w:r>
      <w:r>
        <w:rPr>
          <w:rFonts w:hint="eastAsia" w:ascii="仿宋" w:hAnsi="仿宋" w:eastAsia="仿宋" w:cs="仿宋"/>
          <w:b/>
          <w:bCs/>
          <w:color w:val="auto"/>
          <w:spacing w:val="-2"/>
          <w:sz w:val="28"/>
          <w:szCs w:val="28"/>
          <w:highlight w:val="none"/>
          <w:lang w:eastAsia="zh-CN"/>
        </w:rPr>
        <w:t>响应</w:t>
      </w:r>
      <w:r>
        <w:rPr>
          <w:rFonts w:hint="eastAsia" w:ascii="仿宋" w:hAnsi="仿宋" w:eastAsia="仿宋" w:cs="仿宋"/>
          <w:b/>
          <w:bCs/>
          <w:color w:val="auto"/>
          <w:spacing w:val="-2"/>
          <w:sz w:val="28"/>
          <w:szCs w:val="28"/>
          <w:highlight w:val="none"/>
        </w:rPr>
        <w:t>文件递交截止时间、开标时间和地点</w:t>
      </w:r>
    </w:p>
    <w:p w14:paraId="373568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1.时间：2026年10月26日09点30 分（北京时间）</w:t>
      </w:r>
    </w:p>
    <w:p w14:paraId="27B030E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87" w:rightChars="0" w:firstLine="564" w:firstLineChars="200"/>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2.地点：南京市溧水区中医院后勤楼2楼评标室</w:t>
      </w:r>
    </w:p>
    <w:p w14:paraId="7EF2D579">
      <w:pPr>
        <w:keepNext w:val="0"/>
        <w:keepLines w:val="0"/>
        <w:pageBreakBefore w:val="0"/>
        <w:widowControl w:val="0"/>
        <w:kinsoku/>
        <w:wordWrap/>
        <w:overflowPunct/>
        <w:topLinePunct w:val="0"/>
        <w:autoSpaceDE/>
        <w:autoSpaceDN/>
        <w:bidi w:val="0"/>
        <w:adjustRightInd/>
        <w:snapToGrid/>
        <w:spacing w:line="400" w:lineRule="exact"/>
        <w:ind w:left="564"/>
        <w:textAlignment w:val="auto"/>
        <w:rPr>
          <w:rFonts w:ascii="仿宋" w:hAnsi="仿宋" w:eastAsia="仿宋" w:cs="仿宋"/>
          <w:color w:val="auto"/>
          <w:sz w:val="28"/>
          <w:szCs w:val="28"/>
          <w:highlight w:val="none"/>
        </w:rPr>
      </w:pPr>
      <w:r>
        <w:rPr>
          <w:rFonts w:ascii="仿宋" w:hAnsi="仿宋" w:eastAsia="仿宋" w:cs="仿宋"/>
          <w:color w:val="auto"/>
          <w:spacing w:val="-1"/>
          <w:sz w:val="28"/>
          <w:szCs w:val="28"/>
          <w:highlight w:val="none"/>
        </w:rPr>
        <w:t>3</w:t>
      </w:r>
      <w:r>
        <w:rPr>
          <w:rFonts w:hint="eastAsia" w:ascii="仿宋" w:hAnsi="仿宋" w:eastAsia="仿宋" w:cs="仿宋"/>
          <w:color w:val="auto"/>
          <w:spacing w:val="-1"/>
          <w:sz w:val="28"/>
          <w:szCs w:val="28"/>
          <w:highlight w:val="none"/>
          <w:lang w:val="en-US" w:eastAsia="zh-CN"/>
        </w:rPr>
        <w:t>.</w:t>
      </w:r>
      <w:r>
        <w:rPr>
          <w:rFonts w:hint="eastAsia" w:ascii="仿宋" w:hAnsi="仿宋" w:eastAsia="仿宋" w:cs="仿宋"/>
          <w:color w:val="auto"/>
          <w:spacing w:val="-1"/>
          <w:sz w:val="28"/>
          <w:szCs w:val="28"/>
          <w:highlight w:val="none"/>
          <w:lang w:eastAsia="zh-CN"/>
        </w:rPr>
        <w:t>响应</w:t>
      </w:r>
      <w:r>
        <w:rPr>
          <w:rFonts w:ascii="仿宋" w:hAnsi="仿宋" w:eastAsia="仿宋" w:cs="仿宋"/>
          <w:color w:val="auto"/>
          <w:spacing w:val="-1"/>
          <w:sz w:val="28"/>
          <w:szCs w:val="28"/>
          <w:highlight w:val="none"/>
        </w:rPr>
        <w:t>文件提交方式：</w:t>
      </w:r>
      <w:r>
        <w:rPr>
          <w:rFonts w:hint="eastAsia" w:ascii="仿宋" w:hAnsi="仿宋" w:eastAsia="仿宋" w:cs="仿宋"/>
          <w:color w:val="auto"/>
          <w:spacing w:val="2"/>
          <w:sz w:val="28"/>
          <w:szCs w:val="28"/>
          <w:highlight w:val="none"/>
          <w:lang w:val="en-US" w:eastAsia="zh-CN"/>
        </w:rPr>
        <w:t>将报价资料装在文件袋里密封，封口处盖公章，现场递交；报名资料盖章原件，请与报价资料一并递交。</w:t>
      </w:r>
    </w:p>
    <w:p w14:paraId="37125DC3">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pacing w:val="-2"/>
          <w:sz w:val="28"/>
          <w:szCs w:val="28"/>
          <w:highlight w:val="none"/>
        </w:rPr>
      </w:pPr>
      <w:r>
        <w:rPr>
          <w:rFonts w:hint="eastAsia" w:ascii="仿宋" w:hAnsi="仿宋" w:eastAsia="仿宋" w:cs="仿宋"/>
          <w:b/>
          <w:bCs/>
          <w:color w:val="auto"/>
          <w:spacing w:val="-2"/>
          <w:sz w:val="28"/>
          <w:szCs w:val="28"/>
          <w:highlight w:val="none"/>
          <w:lang w:val="en-US" w:eastAsia="zh-CN"/>
        </w:rPr>
        <w:t>五</w:t>
      </w:r>
      <w:r>
        <w:rPr>
          <w:rFonts w:hint="eastAsia" w:ascii="仿宋" w:hAnsi="仿宋" w:eastAsia="仿宋" w:cs="仿宋"/>
          <w:b/>
          <w:bCs/>
          <w:color w:val="auto"/>
          <w:spacing w:val="-2"/>
          <w:sz w:val="28"/>
          <w:szCs w:val="28"/>
          <w:highlight w:val="none"/>
        </w:rPr>
        <w:t>、其他事宜</w:t>
      </w:r>
    </w:p>
    <w:p w14:paraId="5B726463">
      <w:pPr>
        <w:keepNext w:val="0"/>
        <w:keepLines w:val="0"/>
        <w:pageBreakBefore w:val="0"/>
        <w:widowControl w:val="0"/>
        <w:kinsoku/>
        <w:wordWrap/>
        <w:overflowPunct/>
        <w:topLinePunct w:val="0"/>
        <w:autoSpaceDE/>
        <w:autoSpaceDN/>
        <w:bidi w:val="0"/>
        <w:adjustRightInd/>
        <w:snapToGrid/>
        <w:spacing w:line="400" w:lineRule="exact"/>
        <w:ind w:left="8" w:right="50" w:firstLine="559"/>
        <w:textAlignment w:val="auto"/>
        <w:rPr>
          <w:rFonts w:ascii="仿宋" w:hAnsi="仿宋" w:eastAsia="仿宋" w:cs="仿宋"/>
          <w:color w:val="auto"/>
          <w:spacing w:val="-2"/>
          <w:sz w:val="28"/>
          <w:szCs w:val="28"/>
          <w:highlight w:val="none"/>
        </w:rPr>
      </w:pPr>
      <w:r>
        <w:rPr>
          <w:rFonts w:hint="eastAsia" w:ascii="仿宋" w:hAnsi="仿宋" w:eastAsia="仿宋" w:cs="仿宋"/>
          <w:color w:val="auto"/>
          <w:sz w:val="28"/>
          <w:szCs w:val="28"/>
          <w:highlight w:val="none"/>
          <w:lang w:val="en-US" w:eastAsia="zh-CN"/>
        </w:rPr>
        <w:t>1.</w:t>
      </w:r>
      <w:r>
        <w:rPr>
          <w:rFonts w:ascii="仿宋" w:hAnsi="仿宋" w:eastAsia="仿宋" w:cs="仿宋"/>
          <w:color w:val="auto"/>
          <w:sz w:val="28"/>
          <w:szCs w:val="28"/>
          <w:highlight w:val="none"/>
        </w:rPr>
        <w:t>本项目采用现场开标方式，开标时</w:t>
      </w:r>
      <w:r>
        <w:rPr>
          <w:rFonts w:hint="eastAsia" w:ascii="仿宋" w:hAnsi="仿宋" w:eastAsia="仿宋" w:cs="仿宋"/>
          <w:color w:val="auto"/>
          <w:sz w:val="28"/>
          <w:szCs w:val="28"/>
          <w:highlight w:val="none"/>
          <w:lang w:eastAsia="zh-CN"/>
        </w:rPr>
        <w:t>各供应商</w:t>
      </w:r>
      <w:r>
        <w:rPr>
          <w:rFonts w:ascii="仿宋" w:hAnsi="仿宋" w:eastAsia="仿宋" w:cs="仿宋"/>
          <w:color w:val="auto"/>
          <w:sz w:val="28"/>
          <w:szCs w:val="28"/>
          <w:highlight w:val="none"/>
        </w:rPr>
        <w:t>需到开标现场递交</w:t>
      </w:r>
      <w:r>
        <w:rPr>
          <w:rFonts w:hint="eastAsia" w:ascii="仿宋" w:hAnsi="仿宋" w:eastAsia="仿宋" w:cs="仿宋"/>
          <w:color w:val="auto"/>
          <w:sz w:val="28"/>
          <w:szCs w:val="28"/>
          <w:highlight w:val="none"/>
          <w:lang w:eastAsia="zh-CN"/>
        </w:rPr>
        <w:t>响应</w:t>
      </w:r>
      <w:r>
        <w:rPr>
          <w:rFonts w:ascii="仿宋" w:hAnsi="仿宋" w:eastAsia="仿宋" w:cs="仿宋"/>
          <w:color w:val="auto"/>
          <w:sz w:val="28"/>
          <w:szCs w:val="28"/>
          <w:highlight w:val="none"/>
        </w:rPr>
        <w:t>文</w:t>
      </w:r>
      <w:r>
        <w:rPr>
          <w:rFonts w:ascii="仿宋" w:hAnsi="仿宋" w:eastAsia="仿宋" w:cs="仿宋"/>
          <w:color w:val="auto"/>
          <w:spacing w:val="-2"/>
          <w:sz w:val="28"/>
          <w:szCs w:val="28"/>
          <w:highlight w:val="none"/>
        </w:rPr>
        <w:t>件，并在</w:t>
      </w:r>
      <w:r>
        <w:rPr>
          <w:rFonts w:hint="eastAsia" w:ascii="仿宋" w:hAnsi="仿宋" w:eastAsia="仿宋" w:cs="仿宋"/>
          <w:color w:val="auto"/>
          <w:spacing w:val="-2"/>
          <w:sz w:val="28"/>
          <w:szCs w:val="28"/>
          <w:highlight w:val="none"/>
          <w:lang w:eastAsia="zh-CN"/>
        </w:rPr>
        <w:t>响应</w:t>
      </w:r>
      <w:r>
        <w:rPr>
          <w:rFonts w:ascii="仿宋" w:hAnsi="仿宋" w:eastAsia="仿宋" w:cs="仿宋"/>
          <w:color w:val="auto"/>
          <w:spacing w:val="-2"/>
          <w:sz w:val="28"/>
          <w:szCs w:val="28"/>
          <w:highlight w:val="none"/>
        </w:rPr>
        <w:t>文件递交及开启截止时间前现场递交，否则</w:t>
      </w:r>
      <w:r>
        <w:rPr>
          <w:rFonts w:hint="eastAsia" w:ascii="仿宋" w:hAnsi="仿宋" w:eastAsia="仿宋" w:cs="仿宋"/>
          <w:color w:val="auto"/>
          <w:spacing w:val="-2"/>
          <w:sz w:val="28"/>
          <w:szCs w:val="28"/>
          <w:highlight w:val="none"/>
          <w:lang w:eastAsia="zh-CN"/>
        </w:rPr>
        <w:t>响应</w:t>
      </w:r>
      <w:r>
        <w:rPr>
          <w:rFonts w:ascii="仿宋" w:hAnsi="仿宋" w:eastAsia="仿宋" w:cs="仿宋"/>
          <w:color w:val="auto"/>
          <w:spacing w:val="-2"/>
          <w:sz w:val="28"/>
          <w:szCs w:val="28"/>
          <w:highlight w:val="none"/>
        </w:rPr>
        <w:t>文件不予接收。</w:t>
      </w:r>
    </w:p>
    <w:p w14:paraId="24A8A168">
      <w:pPr>
        <w:keepNext w:val="0"/>
        <w:keepLines w:val="0"/>
        <w:pageBreakBefore w:val="0"/>
        <w:widowControl w:val="0"/>
        <w:kinsoku/>
        <w:wordWrap/>
        <w:overflowPunct/>
        <w:topLinePunct w:val="0"/>
        <w:autoSpaceDE/>
        <w:autoSpaceDN/>
        <w:bidi w:val="0"/>
        <w:adjustRightInd/>
        <w:snapToGrid/>
        <w:spacing w:line="400" w:lineRule="exact"/>
        <w:ind w:left="8" w:right="50" w:firstLine="559"/>
        <w:textAlignment w:val="auto"/>
        <w:rPr>
          <w:rFonts w:hint="eastAsia" w:ascii="仿宋" w:hAnsi="仿宋" w:eastAsia="仿宋" w:cs="仿宋"/>
          <w:color w:val="auto"/>
          <w:spacing w:val="-2"/>
          <w:sz w:val="28"/>
          <w:szCs w:val="28"/>
          <w:highlight w:val="none"/>
          <w:lang w:val="en-US" w:eastAsia="zh-CN"/>
        </w:rPr>
      </w:pPr>
      <w:r>
        <w:rPr>
          <w:rFonts w:hint="eastAsia" w:ascii="仿宋" w:hAnsi="仿宋" w:eastAsia="仿宋" w:cs="仿宋"/>
          <w:color w:val="auto"/>
          <w:spacing w:val="-2"/>
          <w:sz w:val="28"/>
          <w:szCs w:val="28"/>
          <w:highlight w:val="none"/>
          <w:lang w:val="en-US" w:eastAsia="zh-CN"/>
        </w:rPr>
        <w:t>2.有关本次遴选的事项若存在变动或修改，敬请及时关注“南京市溧水区中医院http://lsqzyy.cn/”发布的信息更正公告。</w:t>
      </w:r>
    </w:p>
    <w:p w14:paraId="76C9BCE4">
      <w:pPr>
        <w:keepNext w:val="0"/>
        <w:keepLines w:val="0"/>
        <w:pageBreakBefore w:val="0"/>
        <w:widowControl w:val="0"/>
        <w:kinsoku/>
        <w:wordWrap/>
        <w:overflowPunct/>
        <w:topLinePunct w:val="0"/>
        <w:autoSpaceDE/>
        <w:autoSpaceDN/>
        <w:bidi w:val="0"/>
        <w:adjustRightInd/>
        <w:snapToGrid/>
        <w:spacing w:line="400" w:lineRule="exact"/>
        <w:ind w:left="106"/>
        <w:textAlignment w:val="auto"/>
        <w:outlineLvl w:val="0"/>
        <w:rPr>
          <w:rFonts w:hint="eastAsia" w:ascii="仿宋" w:hAnsi="仿宋" w:eastAsia="仿宋" w:cs="仿宋"/>
          <w:b/>
          <w:bCs/>
          <w:color w:val="auto"/>
          <w:spacing w:val="-2"/>
          <w:sz w:val="28"/>
          <w:szCs w:val="28"/>
          <w:highlight w:val="none"/>
        </w:rPr>
      </w:pPr>
      <w:r>
        <w:rPr>
          <w:rFonts w:hint="eastAsia" w:ascii="仿宋" w:hAnsi="仿宋" w:eastAsia="仿宋" w:cs="仿宋"/>
          <w:b/>
          <w:bCs/>
          <w:color w:val="auto"/>
          <w:spacing w:val="-2"/>
          <w:sz w:val="28"/>
          <w:szCs w:val="28"/>
          <w:highlight w:val="none"/>
          <w:lang w:val="en-US" w:eastAsia="zh-CN"/>
        </w:rPr>
        <w:t>六</w:t>
      </w:r>
      <w:r>
        <w:rPr>
          <w:rFonts w:hint="eastAsia" w:ascii="仿宋" w:hAnsi="仿宋" w:eastAsia="仿宋" w:cs="仿宋"/>
          <w:b/>
          <w:bCs/>
          <w:color w:val="auto"/>
          <w:spacing w:val="-2"/>
          <w:sz w:val="28"/>
          <w:szCs w:val="28"/>
          <w:highlight w:val="none"/>
        </w:rPr>
        <w:t>、对本次</w:t>
      </w:r>
      <w:r>
        <w:rPr>
          <w:rFonts w:hint="eastAsia" w:ascii="仿宋" w:hAnsi="仿宋" w:eastAsia="仿宋" w:cs="仿宋"/>
          <w:b/>
          <w:bCs/>
          <w:color w:val="auto"/>
          <w:spacing w:val="-2"/>
          <w:sz w:val="28"/>
          <w:szCs w:val="28"/>
          <w:highlight w:val="none"/>
          <w:lang w:eastAsia="zh-CN"/>
        </w:rPr>
        <w:t>遴选</w:t>
      </w:r>
      <w:r>
        <w:rPr>
          <w:rFonts w:hint="eastAsia" w:ascii="仿宋" w:hAnsi="仿宋" w:eastAsia="仿宋" w:cs="仿宋"/>
          <w:b/>
          <w:bCs/>
          <w:color w:val="auto"/>
          <w:spacing w:val="-2"/>
          <w:sz w:val="28"/>
          <w:szCs w:val="28"/>
          <w:highlight w:val="none"/>
        </w:rPr>
        <w:t>提出询问，请按以下方式联系。</w:t>
      </w:r>
    </w:p>
    <w:p w14:paraId="09470677">
      <w:pPr>
        <w:keepNext w:val="0"/>
        <w:keepLines w:val="0"/>
        <w:pageBreakBefore w:val="0"/>
        <w:widowControl w:val="0"/>
        <w:kinsoku/>
        <w:wordWrap/>
        <w:overflowPunct/>
        <w:topLinePunct w:val="0"/>
        <w:autoSpaceDE/>
        <w:autoSpaceDN/>
        <w:bidi w:val="0"/>
        <w:adjustRightInd/>
        <w:snapToGrid/>
        <w:spacing w:line="400" w:lineRule="exact"/>
        <w:ind w:left="70" w:firstLine="560" w:firstLineChars="200"/>
        <w:textAlignment w:val="auto"/>
        <w:rPr>
          <w:rFonts w:hint="eastAsia" w:ascii="仿宋" w:hAnsi="仿宋" w:eastAsia="仿宋" w:cs="仿宋"/>
          <w:color w:val="auto"/>
          <w:sz w:val="28"/>
          <w:szCs w:val="28"/>
          <w:highlight w:val="none"/>
        </w:rPr>
      </w:pPr>
      <w:bookmarkStart w:id="2" w:name="_Toc28359019"/>
      <w:bookmarkStart w:id="3" w:name="_Toc28359096"/>
      <w:bookmarkStart w:id="4" w:name="_Toc35393637"/>
      <w:bookmarkStart w:id="5" w:name="_Toc35393806"/>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eastAsia="zh-CN"/>
        </w:rPr>
        <w:t>院方</w:t>
      </w:r>
      <w:r>
        <w:rPr>
          <w:rFonts w:hint="eastAsia" w:ascii="仿宋" w:hAnsi="仿宋" w:eastAsia="仿宋" w:cs="仿宋"/>
          <w:color w:val="auto"/>
          <w:sz w:val="28"/>
          <w:szCs w:val="28"/>
          <w:highlight w:val="none"/>
        </w:rPr>
        <w:t>信息</w:t>
      </w:r>
      <w:bookmarkEnd w:id="2"/>
      <w:bookmarkEnd w:id="3"/>
      <w:bookmarkEnd w:id="4"/>
      <w:bookmarkEnd w:id="5"/>
    </w:p>
    <w:p w14:paraId="6779170C">
      <w:pPr>
        <w:keepNext w:val="0"/>
        <w:keepLines w:val="0"/>
        <w:pageBreakBefore w:val="0"/>
        <w:widowControl w:val="0"/>
        <w:kinsoku/>
        <w:wordWrap/>
        <w:overflowPunct/>
        <w:topLinePunct w:val="0"/>
        <w:autoSpaceDE/>
        <w:autoSpaceDN/>
        <w:bidi w:val="0"/>
        <w:adjustRightInd/>
        <w:snapToGrid/>
        <w:spacing w:line="400" w:lineRule="exact"/>
        <w:ind w:left="7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lang w:val="en-US" w:eastAsia="zh-CN"/>
        </w:rPr>
        <w:t>南京市溧水区中医院</w:t>
      </w:r>
    </w:p>
    <w:p w14:paraId="6377468E">
      <w:pPr>
        <w:keepNext w:val="0"/>
        <w:keepLines w:val="0"/>
        <w:pageBreakBefore w:val="0"/>
        <w:widowControl w:val="0"/>
        <w:kinsoku/>
        <w:wordWrap/>
        <w:overflowPunct/>
        <w:topLinePunct w:val="0"/>
        <w:autoSpaceDE/>
        <w:autoSpaceDN/>
        <w:bidi w:val="0"/>
        <w:adjustRightInd/>
        <w:snapToGrid/>
        <w:spacing w:line="400" w:lineRule="exact"/>
        <w:ind w:left="7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lang w:val="en-US" w:eastAsia="zh-CN"/>
        </w:rPr>
        <w:t>南京市溧水区文昌路201号</w:t>
      </w:r>
    </w:p>
    <w:p w14:paraId="7E25601D">
      <w:pPr>
        <w:keepNext w:val="0"/>
        <w:keepLines w:val="0"/>
        <w:pageBreakBefore w:val="0"/>
        <w:widowControl w:val="0"/>
        <w:kinsoku/>
        <w:wordWrap/>
        <w:overflowPunct/>
        <w:topLinePunct w:val="0"/>
        <w:autoSpaceDE/>
        <w:autoSpaceDN/>
        <w:bidi w:val="0"/>
        <w:adjustRightInd/>
        <w:snapToGrid/>
        <w:spacing w:line="400" w:lineRule="exact"/>
        <w:ind w:left="7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联系方式：王</w:t>
      </w:r>
      <w:r>
        <w:rPr>
          <w:rFonts w:hint="eastAsia" w:ascii="仿宋" w:hAnsi="仿宋" w:eastAsia="仿宋" w:cs="仿宋"/>
          <w:color w:val="auto"/>
          <w:sz w:val="28"/>
          <w:szCs w:val="28"/>
          <w:highlight w:val="none"/>
          <w:lang w:val="en-US" w:eastAsia="zh-CN"/>
        </w:rPr>
        <w:t xml:space="preserve">老师  025-69777128 </w:t>
      </w:r>
    </w:p>
    <w:p w14:paraId="3F90EEC8">
      <w:pPr>
        <w:keepNext w:val="0"/>
        <w:keepLines w:val="0"/>
        <w:pageBreakBefore w:val="0"/>
        <w:overflowPunct/>
        <w:topLinePunct w:val="0"/>
        <w:bidi w:val="0"/>
        <w:spacing w:before="218" w:line="400" w:lineRule="exact"/>
        <w:ind w:left="70"/>
        <w:rPr>
          <w:rFonts w:ascii="仿宋" w:hAnsi="仿宋" w:eastAsia="仿宋" w:cs="仿宋"/>
          <w:color w:val="auto"/>
          <w:sz w:val="28"/>
          <w:szCs w:val="28"/>
          <w:highlight w:val="none"/>
        </w:rPr>
      </w:pPr>
    </w:p>
    <w:p w14:paraId="362A7FA0">
      <w:pPr>
        <w:keepNext w:val="0"/>
        <w:keepLines w:val="0"/>
        <w:pageBreakBefore w:val="0"/>
        <w:overflowPunct/>
        <w:topLinePunct w:val="0"/>
        <w:bidi w:val="0"/>
        <w:spacing w:line="400" w:lineRule="exact"/>
        <w:rPr>
          <w:rFonts w:ascii="Arial"/>
          <w:color w:val="auto"/>
          <w:sz w:val="21"/>
          <w:highlight w:val="none"/>
        </w:rPr>
      </w:pPr>
    </w:p>
    <w:p w14:paraId="7605CD65">
      <w:pPr>
        <w:keepNext w:val="0"/>
        <w:keepLines w:val="0"/>
        <w:pageBreakBefore w:val="0"/>
        <w:overflowPunct/>
        <w:topLinePunct w:val="0"/>
        <w:bidi w:val="0"/>
        <w:spacing w:line="400" w:lineRule="exact"/>
        <w:rPr>
          <w:rFonts w:ascii="Arial"/>
          <w:color w:val="auto"/>
          <w:sz w:val="21"/>
          <w:highlight w:val="none"/>
        </w:rPr>
      </w:pPr>
    </w:p>
    <w:p w14:paraId="6FB7EB24">
      <w:pPr>
        <w:keepNext w:val="0"/>
        <w:keepLines w:val="0"/>
        <w:pageBreakBefore w:val="0"/>
        <w:overflowPunct/>
        <w:topLinePunct w:val="0"/>
        <w:bidi w:val="0"/>
        <w:spacing w:line="400" w:lineRule="exact"/>
        <w:rPr>
          <w:rFonts w:ascii="仿宋" w:hAnsi="仿宋" w:eastAsia="仿宋" w:cs="仿宋"/>
          <w:color w:val="auto"/>
          <w:sz w:val="28"/>
          <w:szCs w:val="28"/>
          <w:highlight w:val="none"/>
        </w:rPr>
        <w:sectPr>
          <w:headerReference r:id="rId3" w:type="default"/>
          <w:footerReference r:id="rId4" w:type="default"/>
          <w:pgSz w:w="11907" w:h="16840"/>
          <w:pgMar w:top="1417" w:right="1417" w:bottom="1417" w:left="1417" w:header="0" w:footer="1037" w:gutter="0"/>
          <w:cols w:space="720" w:num="1"/>
        </w:sectPr>
      </w:pPr>
    </w:p>
    <w:p w14:paraId="0A958CE5">
      <w:pPr>
        <w:pStyle w:val="8"/>
        <w:keepNext w:val="0"/>
        <w:keepLines w:val="0"/>
        <w:pageBreakBefore w:val="0"/>
        <w:overflowPunct/>
        <w:topLinePunct w:val="0"/>
        <w:bidi w:val="0"/>
        <w:spacing w:before="78" w:line="400" w:lineRule="exact"/>
        <w:jc w:val="center"/>
        <w:outlineLvl w:val="0"/>
        <w:rPr>
          <w:rFonts w:hint="eastAsia" w:ascii="宋体" w:hAnsi="宋体" w:eastAsia="宋体" w:cs="黑体"/>
          <w:b/>
          <w:color w:val="auto"/>
          <w:kern w:val="2"/>
          <w:sz w:val="36"/>
          <w:szCs w:val="36"/>
          <w:highlight w:val="none"/>
          <w:lang w:val="en-US" w:eastAsia="zh-CN" w:bidi="ar-SA"/>
        </w:rPr>
      </w:pPr>
      <w:bookmarkStart w:id="6" w:name="bookmark2"/>
      <w:bookmarkEnd w:id="6"/>
      <w:r>
        <w:rPr>
          <w:rFonts w:hint="eastAsia" w:ascii="宋体" w:hAnsi="宋体" w:eastAsia="宋体" w:cs="黑体"/>
          <w:b/>
          <w:color w:val="auto"/>
          <w:kern w:val="2"/>
          <w:sz w:val="36"/>
          <w:szCs w:val="36"/>
          <w:highlight w:val="none"/>
          <w:lang w:val="en-US" w:eastAsia="zh-CN" w:bidi="ar-SA"/>
        </w:rPr>
        <w:t>第二章 前附表</w:t>
      </w:r>
    </w:p>
    <w:p w14:paraId="3F2FE1A6">
      <w:pPr>
        <w:keepNext w:val="0"/>
        <w:keepLines w:val="0"/>
        <w:pageBreakBefore w:val="0"/>
        <w:overflowPunct/>
        <w:topLinePunct w:val="0"/>
        <w:bidi w:val="0"/>
        <w:spacing w:line="400" w:lineRule="exact"/>
        <w:rPr>
          <w:color w:val="auto"/>
          <w:highlight w:val="none"/>
        </w:rPr>
      </w:pPr>
    </w:p>
    <w:tbl>
      <w:tblPr>
        <w:tblStyle w:val="28"/>
        <w:tblW w:w="9450" w:type="dxa"/>
        <w:tblInd w:w="-1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1876"/>
        <w:gridCol w:w="6613"/>
      </w:tblGrid>
      <w:tr w14:paraId="432E5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961" w:type="dxa"/>
            <w:vAlign w:val="top"/>
          </w:tcPr>
          <w:p w14:paraId="5D0F53C1">
            <w:pPr>
              <w:keepNext w:val="0"/>
              <w:keepLines w:val="0"/>
              <w:pageBreakBefore w:val="0"/>
              <w:overflowPunct/>
              <w:topLinePunct w:val="0"/>
              <w:bidi w:val="0"/>
              <w:spacing w:before="222" w:line="400" w:lineRule="exact"/>
              <w:ind w:left="168"/>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序号</w:t>
            </w:r>
          </w:p>
        </w:tc>
        <w:tc>
          <w:tcPr>
            <w:tcW w:w="1876" w:type="dxa"/>
            <w:vAlign w:val="top"/>
          </w:tcPr>
          <w:p w14:paraId="6A2347BD">
            <w:pPr>
              <w:keepNext w:val="0"/>
              <w:keepLines w:val="0"/>
              <w:pageBreakBefore w:val="0"/>
              <w:overflowPunct/>
              <w:topLinePunct w:val="0"/>
              <w:bidi w:val="0"/>
              <w:spacing w:before="223" w:line="400" w:lineRule="exact"/>
              <w:jc w:val="center"/>
              <w:rPr>
                <w:rFonts w:hint="eastAsia" w:ascii="仿宋" w:hAnsi="仿宋" w:eastAsia="仿宋" w:cs="仿宋"/>
                <w:color w:val="auto"/>
                <w:sz w:val="28"/>
                <w:szCs w:val="28"/>
                <w:highlight w:val="none"/>
              </w:rPr>
            </w:pPr>
            <w:r>
              <w:rPr>
                <w:rFonts w:hint="eastAsia" w:ascii="仿宋" w:hAnsi="仿宋" w:eastAsia="仿宋" w:cs="仿宋"/>
                <w:b/>
                <w:bCs/>
                <w:color w:val="auto"/>
                <w:spacing w:val="-22"/>
                <w:sz w:val="28"/>
                <w:szCs w:val="28"/>
                <w:highlight w:val="none"/>
              </w:rPr>
              <w:t>内容</w:t>
            </w:r>
          </w:p>
        </w:tc>
        <w:tc>
          <w:tcPr>
            <w:tcW w:w="6613" w:type="dxa"/>
            <w:vAlign w:val="top"/>
          </w:tcPr>
          <w:p w14:paraId="47D454C9">
            <w:pPr>
              <w:keepNext w:val="0"/>
              <w:keepLines w:val="0"/>
              <w:pageBreakBefore w:val="0"/>
              <w:overflowPunct/>
              <w:topLinePunct w:val="0"/>
              <w:bidi w:val="0"/>
              <w:spacing w:before="223" w:line="400" w:lineRule="exact"/>
              <w:jc w:val="center"/>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说明与要求</w:t>
            </w:r>
          </w:p>
        </w:tc>
      </w:tr>
      <w:tr w14:paraId="158CD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961" w:type="dxa"/>
            <w:vAlign w:val="center"/>
          </w:tcPr>
          <w:p w14:paraId="7B2FFEC0">
            <w:pPr>
              <w:keepNext w:val="0"/>
              <w:keepLines w:val="0"/>
              <w:pageBreakBefore w:val="0"/>
              <w:overflowPunct/>
              <w:topLinePunct w:val="0"/>
              <w:bidi w:val="0"/>
              <w:spacing w:before="203" w:line="400" w:lineRule="exact"/>
              <w:jc w:val="center"/>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rPr>
              <w:t>1</w:t>
            </w:r>
          </w:p>
        </w:tc>
        <w:tc>
          <w:tcPr>
            <w:tcW w:w="1876" w:type="dxa"/>
            <w:vAlign w:val="center"/>
          </w:tcPr>
          <w:p w14:paraId="115749B1">
            <w:pPr>
              <w:keepNext w:val="0"/>
              <w:keepLines w:val="0"/>
              <w:pageBreakBefore w:val="0"/>
              <w:overflowPunct/>
              <w:topLinePunct w:val="0"/>
              <w:bidi w:val="0"/>
              <w:spacing w:before="203" w:line="400" w:lineRule="exact"/>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4"/>
                <w:sz w:val="28"/>
                <w:szCs w:val="28"/>
                <w:highlight w:val="none"/>
              </w:rPr>
              <w:t>项目名称</w:t>
            </w:r>
          </w:p>
        </w:tc>
        <w:tc>
          <w:tcPr>
            <w:tcW w:w="6613" w:type="dxa"/>
            <w:vAlign w:val="center"/>
          </w:tcPr>
          <w:p w14:paraId="3DE10B3D">
            <w:pPr>
              <w:keepNext w:val="0"/>
              <w:keepLines w:val="0"/>
              <w:pageBreakBefore w:val="0"/>
              <w:overflowPunct/>
              <w:topLinePunct w:val="0"/>
              <w:bidi w:val="0"/>
              <w:spacing w:before="203" w:line="400" w:lineRule="exact"/>
              <w:ind w:left="123"/>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sz w:val="28"/>
                <w:szCs w:val="28"/>
                <w:highlight w:val="none"/>
                <w:lang w:eastAsia="zh-CN"/>
              </w:rPr>
              <w:t>南京市溧水区中医院全院快递及医共体一体化物流服务</w:t>
            </w:r>
          </w:p>
        </w:tc>
      </w:tr>
      <w:tr w14:paraId="3DDA8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61" w:type="dxa"/>
            <w:vAlign w:val="center"/>
          </w:tcPr>
          <w:p w14:paraId="41096A70">
            <w:pPr>
              <w:keepNext w:val="0"/>
              <w:keepLines w:val="0"/>
              <w:pageBreakBefore w:val="0"/>
              <w:overflowPunct/>
              <w:topLinePunct w:val="0"/>
              <w:bidi w:val="0"/>
              <w:spacing w:before="203" w:line="400" w:lineRule="exact"/>
              <w:jc w:val="center"/>
              <w:rPr>
                <w:rFonts w:hint="default" w:ascii="仿宋" w:hAnsi="仿宋" w:eastAsia="仿宋" w:cs="仿宋"/>
                <w:color w:val="auto"/>
                <w:spacing w:val="-3"/>
                <w:sz w:val="28"/>
                <w:szCs w:val="28"/>
                <w:highlight w:val="none"/>
                <w:lang w:val="en-US" w:eastAsia="zh-CN"/>
              </w:rPr>
            </w:pPr>
            <w:r>
              <w:rPr>
                <w:rFonts w:hint="eastAsia" w:ascii="仿宋" w:hAnsi="仿宋" w:eastAsia="仿宋" w:cs="仿宋"/>
                <w:color w:val="auto"/>
                <w:spacing w:val="-3"/>
                <w:sz w:val="28"/>
                <w:szCs w:val="28"/>
                <w:highlight w:val="none"/>
                <w:lang w:val="en-US" w:eastAsia="zh-CN"/>
              </w:rPr>
              <w:t>2</w:t>
            </w:r>
          </w:p>
        </w:tc>
        <w:tc>
          <w:tcPr>
            <w:tcW w:w="1876" w:type="dxa"/>
            <w:vAlign w:val="center"/>
          </w:tcPr>
          <w:p w14:paraId="5AF30654">
            <w:pPr>
              <w:keepNext w:val="0"/>
              <w:keepLines w:val="0"/>
              <w:pageBreakBefore w:val="0"/>
              <w:overflowPunct/>
              <w:topLinePunct w:val="0"/>
              <w:bidi w:val="0"/>
              <w:spacing w:before="203" w:line="400" w:lineRule="exact"/>
              <w:jc w:val="center"/>
              <w:rPr>
                <w:rFonts w:hint="eastAsia" w:ascii="仿宋" w:hAnsi="仿宋" w:eastAsia="仿宋" w:cs="仿宋"/>
                <w:color w:val="auto"/>
                <w:spacing w:val="-3"/>
                <w:sz w:val="28"/>
                <w:szCs w:val="28"/>
                <w:highlight w:val="none"/>
              </w:rPr>
            </w:pPr>
            <w:r>
              <w:rPr>
                <w:rFonts w:hint="eastAsia" w:ascii="仿宋" w:hAnsi="仿宋" w:eastAsia="仿宋" w:cs="仿宋"/>
                <w:color w:val="auto"/>
                <w:spacing w:val="-3"/>
                <w:sz w:val="28"/>
                <w:szCs w:val="28"/>
                <w:highlight w:val="none"/>
                <w:lang w:eastAsia="zh-CN"/>
              </w:rPr>
              <w:t>响应</w:t>
            </w:r>
            <w:r>
              <w:rPr>
                <w:rFonts w:hint="eastAsia" w:ascii="仿宋" w:hAnsi="仿宋" w:eastAsia="仿宋" w:cs="仿宋"/>
                <w:color w:val="auto"/>
                <w:spacing w:val="-3"/>
                <w:sz w:val="28"/>
                <w:szCs w:val="28"/>
                <w:highlight w:val="none"/>
              </w:rPr>
              <w:t>有效期</w:t>
            </w:r>
          </w:p>
        </w:tc>
        <w:tc>
          <w:tcPr>
            <w:tcW w:w="6613" w:type="dxa"/>
            <w:vAlign w:val="center"/>
          </w:tcPr>
          <w:p w14:paraId="023C22FC">
            <w:pPr>
              <w:keepNext w:val="0"/>
              <w:keepLines w:val="0"/>
              <w:pageBreakBefore w:val="0"/>
              <w:overflowPunct/>
              <w:topLinePunct w:val="0"/>
              <w:bidi w:val="0"/>
              <w:spacing w:before="203" w:line="400" w:lineRule="exact"/>
              <w:ind w:left="123"/>
              <w:jc w:val="left"/>
              <w:rPr>
                <w:rFonts w:hint="eastAsia" w:ascii="仿宋" w:hAnsi="仿宋" w:eastAsia="仿宋" w:cs="仿宋"/>
                <w:color w:val="auto"/>
                <w:spacing w:val="-2"/>
                <w:sz w:val="28"/>
                <w:szCs w:val="28"/>
                <w:highlight w:val="none"/>
                <w:lang w:eastAsia="zh-CN"/>
              </w:rPr>
            </w:pPr>
            <w:r>
              <w:rPr>
                <w:rFonts w:hint="eastAsia" w:ascii="仿宋" w:hAnsi="仿宋" w:eastAsia="仿宋" w:cs="仿宋"/>
                <w:color w:val="auto"/>
                <w:spacing w:val="-2"/>
                <w:sz w:val="28"/>
                <w:szCs w:val="28"/>
                <w:highlight w:val="none"/>
                <w:lang w:eastAsia="zh-CN"/>
              </w:rPr>
              <w:t>响应截止日后</w:t>
            </w:r>
            <w:r>
              <w:rPr>
                <w:rFonts w:hint="eastAsia" w:ascii="仿宋" w:hAnsi="仿宋" w:eastAsia="仿宋" w:cs="仿宋"/>
                <w:color w:val="auto"/>
                <w:spacing w:val="-2"/>
                <w:sz w:val="28"/>
                <w:szCs w:val="28"/>
                <w:highlight w:val="none"/>
                <w:lang w:val="en-US" w:eastAsia="zh-CN"/>
              </w:rPr>
              <w:t>9</w:t>
            </w:r>
            <w:r>
              <w:rPr>
                <w:rFonts w:hint="eastAsia" w:ascii="仿宋" w:hAnsi="仿宋" w:eastAsia="仿宋" w:cs="仿宋"/>
                <w:color w:val="auto"/>
                <w:spacing w:val="-2"/>
                <w:sz w:val="28"/>
                <w:szCs w:val="28"/>
                <w:highlight w:val="none"/>
                <w:lang w:eastAsia="zh-CN"/>
              </w:rPr>
              <w:t>0 天</w:t>
            </w:r>
          </w:p>
        </w:tc>
      </w:tr>
      <w:tr w14:paraId="2C2C4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61" w:type="dxa"/>
            <w:vAlign w:val="center"/>
          </w:tcPr>
          <w:p w14:paraId="37A7820E">
            <w:pPr>
              <w:keepNext w:val="0"/>
              <w:keepLines w:val="0"/>
              <w:pageBreakBefore w:val="0"/>
              <w:overflowPunct/>
              <w:topLinePunct w:val="0"/>
              <w:bidi w:val="0"/>
              <w:spacing w:before="177" w:line="400" w:lineRule="exact"/>
              <w:ind w:left="348"/>
              <w:jc w:val="both"/>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w:t>
            </w:r>
          </w:p>
        </w:tc>
        <w:tc>
          <w:tcPr>
            <w:tcW w:w="1876" w:type="dxa"/>
            <w:shd w:val="clear" w:color="auto" w:fill="auto"/>
            <w:vAlign w:val="center"/>
          </w:tcPr>
          <w:p w14:paraId="43FE85EB">
            <w:pPr>
              <w:keepNext w:val="0"/>
              <w:keepLines w:val="0"/>
              <w:pageBreakBefore w:val="0"/>
              <w:overflowPunct/>
              <w:topLinePunct w:val="0"/>
              <w:bidi w:val="0"/>
              <w:spacing w:before="175" w:line="40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pacing w:val="-4"/>
                <w:sz w:val="28"/>
                <w:szCs w:val="28"/>
                <w:highlight w:val="none"/>
              </w:rPr>
              <w:t>服务覆盖业务板块</w:t>
            </w:r>
          </w:p>
        </w:tc>
        <w:tc>
          <w:tcPr>
            <w:tcW w:w="6613" w:type="dxa"/>
            <w:shd w:val="clear" w:color="auto" w:fill="auto"/>
            <w:vAlign w:val="center"/>
          </w:tcPr>
          <w:p w14:paraId="3C07BC83">
            <w:pPr>
              <w:keepNext w:val="0"/>
              <w:keepLines w:val="0"/>
              <w:pageBreakBefore w:val="0"/>
              <w:widowControl w:val="0"/>
              <w:kinsoku/>
              <w:wordWrap/>
              <w:overflowPunct/>
              <w:topLinePunct w:val="0"/>
              <w:autoSpaceDE/>
              <w:autoSpaceDN/>
              <w:bidi w:val="0"/>
              <w:adjustRightInd/>
              <w:snapToGrid/>
              <w:spacing w:line="400" w:lineRule="exact"/>
              <w:ind w:right="87"/>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（1）药房：西药、中成药、中草药、代煎汤剂、中药配方颗粒、膏方等药品打包寄递、配送到家；</w:t>
            </w:r>
          </w:p>
          <w:p w14:paraId="25E5A321">
            <w:pPr>
              <w:keepNext w:val="0"/>
              <w:keepLines w:val="0"/>
              <w:pageBreakBefore w:val="0"/>
              <w:widowControl w:val="0"/>
              <w:kinsoku/>
              <w:wordWrap/>
              <w:overflowPunct/>
              <w:topLinePunct w:val="0"/>
              <w:autoSpaceDE/>
              <w:autoSpaceDN/>
              <w:bidi w:val="0"/>
              <w:adjustRightInd/>
              <w:snapToGrid/>
              <w:spacing w:line="400" w:lineRule="exact"/>
              <w:ind w:right="87"/>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（2）共享云药房：线上处方药品配送到家；</w:t>
            </w:r>
          </w:p>
          <w:p w14:paraId="49FF4FD9">
            <w:pPr>
              <w:keepNext w:val="0"/>
              <w:keepLines w:val="0"/>
              <w:pageBreakBefore w:val="0"/>
              <w:widowControl w:val="0"/>
              <w:kinsoku/>
              <w:wordWrap/>
              <w:overflowPunct/>
              <w:topLinePunct w:val="0"/>
              <w:autoSpaceDE/>
              <w:autoSpaceDN/>
              <w:bidi w:val="0"/>
              <w:adjustRightInd/>
              <w:snapToGrid/>
              <w:spacing w:line="400" w:lineRule="exact"/>
              <w:ind w:right="87"/>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（3）互联网医院：线上问诊处方药品、病例复印等寄递配送；</w:t>
            </w:r>
          </w:p>
          <w:p w14:paraId="7B9F5821">
            <w:pPr>
              <w:keepNext w:val="0"/>
              <w:keepLines w:val="0"/>
              <w:pageBreakBefore w:val="0"/>
              <w:widowControl w:val="0"/>
              <w:kinsoku/>
              <w:wordWrap/>
              <w:overflowPunct/>
              <w:topLinePunct w:val="0"/>
              <w:autoSpaceDE/>
              <w:autoSpaceDN/>
              <w:bidi w:val="0"/>
              <w:adjustRightInd/>
              <w:snapToGrid/>
              <w:spacing w:line="400" w:lineRule="exact"/>
              <w:ind w:right="87"/>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（4）溧膳堂：相关产品的对外寄送；</w:t>
            </w:r>
          </w:p>
          <w:p w14:paraId="0FF2DC75">
            <w:pPr>
              <w:keepNext w:val="0"/>
              <w:keepLines w:val="0"/>
              <w:pageBreakBefore w:val="0"/>
              <w:overflowPunct/>
              <w:topLinePunct w:val="0"/>
              <w:bidi w:val="0"/>
              <w:spacing w:before="175" w:line="400" w:lineRule="exact"/>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（5）全院各科室：公文信函、档案资料、医用文书、血液标本、病理标本、医用耗材、物资文件等的寄递。</w:t>
            </w:r>
          </w:p>
        </w:tc>
      </w:tr>
      <w:tr w14:paraId="187F6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61" w:type="dxa"/>
            <w:vAlign w:val="center"/>
          </w:tcPr>
          <w:p w14:paraId="61200033">
            <w:pPr>
              <w:keepNext w:val="0"/>
              <w:keepLines w:val="0"/>
              <w:pageBreakBefore w:val="0"/>
              <w:overflowPunct/>
              <w:topLinePunct w:val="0"/>
              <w:bidi w:val="0"/>
              <w:spacing w:before="175" w:line="400" w:lineRule="exact"/>
              <w:ind w:left="351"/>
              <w:jc w:val="both"/>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w:t>
            </w:r>
          </w:p>
        </w:tc>
        <w:tc>
          <w:tcPr>
            <w:tcW w:w="1876" w:type="dxa"/>
            <w:shd w:val="clear" w:color="auto" w:fill="auto"/>
            <w:vAlign w:val="center"/>
          </w:tcPr>
          <w:p w14:paraId="7781FE42">
            <w:pPr>
              <w:keepNext w:val="0"/>
              <w:keepLines w:val="0"/>
              <w:pageBreakBefore w:val="0"/>
              <w:overflowPunct/>
              <w:topLinePunct w:val="0"/>
              <w:bidi w:val="0"/>
              <w:spacing w:before="177" w:line="40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pacing w:val="-1"/>
                <w:sz w:val="28"/>
                <w:szCs w:val="28"/>
                <w:highlight w:val="none"/>
              </w:rPr>
              <w:t>合同服务期限</w:t>
            </w:r>
          </w:p>
        </w:tc>
        <w:tc>
          <w:tcPr>
            <w:tcW w:w="6613" w:type="dxa"/>
            <w:shd w:val="clear" w:color="auto" w:fill="auto"/>
            <w:vAlign w:val="center"/>
          </w:tcPr>
          <w:p w14:paraId="00C8F740">
            <w:pPr>
              <w:keepNext w:val="0"/>
              <w:keepLines w:val="0"/>
              <w:pageBreakBefore w:val="0"/>
              <w:overflowPunct/>
              <w:topLinePunct w:val="0"/>
              <w:bidi w:val="0"/>
              <w:spacing w:before="177" w:line="400" w:lineRule="exact"/>
              <w:ind w:left="117" w:leftChars="0"/>
              <w:jc w:val="left"/>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三年。</w:t>
            </w:r>
          </w:p>
        </w:tc>
      </w:tr>
      <w:tr w14:paraId="59EEA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1" w:type="dxa"/>
            <w:vAlign w:val="center"/>
          </w:tcPr>
          <w:p w14:paraId="60250266">
            <w:pPr>
              <w:keepNext w:val="0"/>
              <w:keepLines w:val="0"/>
              <w:pageBreakBefore w:val="0"/>
              <w:overflowPunct/>
              <w:topLinePunct w:val="0"/>
              <w:bidi w:val="0"/>
              <w:spacing w:before="175" w:line="400" w:lineRule="exact"/>
              <w:ind w:left="351"/>
              <w:jc w:val="both"/>
              <w:rPr>
                <w:rFonts w:hint="default" w:ascii="仿宋" w:hAnsi="仿宋" w:eastAsia="仿宋" w:cs="仿宋"/>
                <w:b w:val="0"/>
                <w:bCs w:val="0"/>
                <w:color w:val="auto"/>
                <w:spacing w:val="-3"/>
                <w:sz w:val="28"/>
                <w:szCs w:val="28"/>
                <w:highlight w:val="none"/>
                <w:lang w:val="en-US" w:eastAsia="zh-CN"/>
              </w:rPr>
            </w:pPr>
            <w:r>
              <w:rPr>
                <w:rFonts w:hint="eastAsia" w:ascii="仿宋" w:hAnsi="仿宋" w:eastAsia="仿宋" w:cs="仿宋"/>
                <w:b w:val="0"/>
                <w:bCs w:val="0"/>
                <w:color w:val="auto"/>
                <w:spacing w:val="-3"/>
                <w:sz w:val="28"/>
                <w:szCs w:val="28"/>
                <w:highlight w:val="none"/>
                <w:lang w:val="en-US" w:eastAsia="zh-CN"/>
              </w:rPr>
              <w:t>5</w:t>
            </w:r>
          </w:p>
        </w:tc>
        <w:tc>
          <w:tcPr>
            <w:tcW w:w="1876" w:type="dxa"/>
            <w:shd w:val="clear" w:color="auto" w:fill="auto"/>
            <w:vAlign w:val="center"/>
          </w:tcPr>
          <w:p w14:paraId="514483A7">
            <w:pPr>
              <w:keepNext w:val="0"/>
              <w:keepLines w:val="0"/>
              <w:pageBreakBefore w:val="0"/>
              <w:overflowPunct/>
              <w:topLinePunct w:val="0"/>
              <w:bidi w:val="0"/>
              <w:spacing w:before="177" w:line="400" w:lineRule="exact"/>
              <w:jc w:val="center"/>
              <w:rPr>
                <w:rFonts w:hint="eastAsia" w:ascii="仿宋" w:hAnsi="仿宋" w:eastAsia="仿宋" w:cs="仿宋"/>
                <w:color w:val="auto"/>
                <w:spacing w:val="-4"/>
                <w:sz w:val="28"/>
                <w:szCs w:val="28"/>
                <w:highlight w:val="none"/>
              </w:rPr>
            </w:pPr>
            <w:r>
              <w:rPr>
                <w:rFonts w:hint="eastAsia" w:ascii="仿宋" w:hAnsi="仿宋" w:eastAsia="仿宋" w:cs="仿宋"/>
                <w:color w:val="auto"/>
                <w:sz w:val="28"/>
                <w:szCs w:val="28"/>
                <w:highlight w:val="none"/>
                <w:lang w:eastAsia="zh-CN"/>
              </w:rPr>
              <w:t>遴选</w:t>
            </w:r>
            <w:r>
              <w:rPr>
                <w:rFonts w:ascii="仿宋" w:hAnsi="仿宋" w:eastAsia="仿宋" w:cs="仿宋"/>
                <w:color w:val="auto"/>
                <w:sz w:val="28"/>
                <w:szCs w:val="28"/>
                <w:highlight w:val="none"/>
              </w:rPr>
              <w:t>需求</w:t>
            </w:r>
          </w:p>
        </w:tc>
        <w:tc>
          <w:tcPr>
            <w:tcW w:w="6613" w:type="dxa"/>
            <w:shd w:val="clear" w:color="auto" w:fill="auto"/>
            <w:vAlign w:val="center"/>
          </w:tcPr>
          <w:p w14:paraId="65610B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（1）提供收派件服务，日常上门揽收、打包、分拣、派送，支持同城急送、跨省快递等服务；</w:t>
            </w:r>
          </w:p>
          <w:p w14:paraId="67F7939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（2）全流程货物溯源、台账登记、隐私信息加密，杜绝病历、患者处方、个人信息泄露。</w:t>
            </w:r>
          </w:p>
          <w:p w14:paraId="2A6C6F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val="en-US" w:eastAsia="zh-CN"/>
              </w:rPr>
              <w:t>（3）服务商须配备无人快递车，用于医院与固定地点间的点对点无人化转运药品、文书、小件物资等，支持自动导航、避障、扫码取件、轨迹溯源、后台调度管理等功能。</w:t>
            </w:r>
          </w:p>
        </w:tc>
      </w:tr>
      <w:tr w14:paraId="5D50B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1" w:type="dxa"/>
            <w:vAlign w:val="center"/>
          </w:tcPr>
          <w:p w14:paraId="79F3BF9A">
            <w:pPr>
              <w:keepNext w:val="0"/>
              <w:keepLines w:val="0"/>
              <w:pageBreakBefore w:val="0"/>
              <w:overflowPunct/>
              <w:topLinePunct w:val="0"/>
              <w:bidi w:val="0"/>
              <w:spacing w:before="176" w:line="400" w:lineRule="exact"/>
              <w:ind w:left="354"/>
              <w:jc w:val="both"/>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w:t>
            </w:r>
          </w:p>
        </w:tc>
        <w:tc>
          <w:tcPr>
            <w:tcW w:w="1876" w:type="dxa"/>
            <w:shd w:val="clear" w:color="auto" w:fill="auto"/>
            <w:vAlign w:val="center"/>
          </w:tcPr>
          <w:p w14:paraId="0806D6AA">
            <w:pPr>
              <w:keepNext w:val="0"/>
              <w:keepLines w:val="0"/>
              <w:pageBreakBefore w:val="0"/>
              <w:overflowPunct/>
              <w:topLinePunct w:val="0"/>
              <w:bidi w:val="0"/>
              <w:spacing w:before="78" w:line="40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pacing w:val="-3"/>
                <w:sz w:val="28"/>
                <w:szCs w:val="28"/>
                <w:highlight w:val="none"/>
              </w:rPr>
              <w:t>履约保证金</w:t>
            </w:r>
          </w:p>
        </w:tc>
        <w:tc>
          <w:tcPr>
            <w:tcW w:w="6613" w:type="dxa"/>
            <w:shd w:val="clear" w:color="auto" w:fill="auto"/>
            <w:vAlign w:val="center"/>
          </w:tcPr>
          <w:p w14:paraId="3B714B66">
            <w:pPr>
              <w:keepNext w:val="0"/>
              <w:keepLines w:val="0"/>
              <w:pageBreakBefore w:val="0"/>
              <w:overflowPunct/>
              <w:topLinePunct w:val="0"/>
              <w:bidi w:val="0"/>
              <w:spacing w:before="154" w:line="400" w:lineRule="exact"/>
              <w:ind w:left="117" w:leftChars="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本项目不涉及。</w:t>
            </w:r>
          </w:p>
        </w:tc>
      </w:tr>
      <w:tr w14:paraId="1F696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trPr>
        <w:tc>
          <w:tcPr>
            <w:tcW w:w="961" w:type="dxa"/>
            <w:vAlign w:val="center"/>
          </w:tcPr>
          <w:p w14:paraId="17CE8439">
            <w:pPr>
              <w:keepNext w:val="0"/>
              <w:keepLines w:val="0"/>
              <w:pageBreakBefore w:val="0"/>
              <w:overflowPunct/>
              <w:topLinePunct w:val="0"/>
              <w:bidi w:val="0"/>
              <w:spacing w:before="176" w:line="400" w:lineRule="exact"/>
              <w:ind w:left="350"/>
              <w:jc w:val="both"/>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7</w:t>
            </w:r>
          </w:p>
        </w:tc>
        <w:tc>
          <w:tcPr>
            <w:tcW w:w="1876" w:type="dxa"/>
            <w:shd w:val="clear" w:color="auto" w:fill="auto"/>
            <w:vAlign w:val="center"/>
          </w:tcPr>
          <w:p w14:paraId="2CE336FA">
            <w:pPr>
              <w:keepNext w:val="0"/>
              <w:keepLines w:val="0"/>
              <w:pageBreakBefore w:val="0"/>
              <w:overflowPunct/>
              <w:topLinePunct w:val="0"/>
              <w:bidi w:val="0"/>
              <w:spacing w:before="176" w:line="400" w:lineRule="exact"/>
              <w:ind w:left="112" w:leftChars="0" w:right="45" w:rightChars="0" w:firstLine="18" w:firstLineChars="0"/>
              <w:jc w:val="center"/>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集中考察或答疑</w:t>
            </w:r>
          </w:p>
        </w:tc>
        <w:tc>
          <w:tcPr>
            <w:tcW w:w="6613" w:type="dxa"/>
            <w:shd w:val="clear" w:color="auto" w:fill="auto"/>
            <w:vAlign w:val="center"/>
          </w:tcPr>
          <w:p w14:paraId="495A5CFF">
            <w:pPr>
              <w:keepNext w:val="0"/>
              <w:keepLines w:val="0"/>
              <w:pageBreakBefore w:val="0"/>
              <w:overflowPunct/>
              <w:topLinePunct w:val="0"/>
              <w:bidi w:val="0"/>
              <w:spacing w:before="176" w:line="400" w:lineRule="exact"/>
              <w:ind w:left="112" w:leftChars="0" w:right="45" w:rightChars="0" w:firstLine="18" w:firstLineChars="0"/>
              <w:jc w:val="left"/>
              <w:rPr>
                <w:rFonts w:hint="default"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院方</w:t>
            </w:r>
            <w:r>
              <w:rPr>
                <w:rFonts w:hint="default" w:ascii="仿宋" w:hAnsi="仿宋" w:eastAsia="仿宋" w:cs="仿宋"/>
                <w:color w:val="auto"/>
                <w:spacing w:val="-1"/>
                <w:sz w:val="28"/>
                <w:szCs w:val="28"/>
                <w:highlight w:val="none"/>
                <w:lang w:val="en-US" w:eastAsia="zh-CN"/>
              </w:rPr>
              <w:t>不组织。各</w:t>
            </w:r>
            <w:r>
              <w:rPr>
                <w:rFonts w:hint="eastAsia" w:ascii="仿宋" w:hAnsi="仿宋" w:eastAsia="仿宋" w:cs="仿宋"/>
                <w:color w:val="auto"/>
                <w:spacing w:val="-1"/>
                <w:sz w:val="28"/>
                <w:szCs w:val="28"/>
                <w:highlight w:val="none"/>
                <w:lang w:val="en-US" w:eastAsia="zh-CN"/>
              </w:rPr>
              <w:t>供应商</w:t>
            </w:r>
            <w:r>
              <w:rPr>
                <w:rFonts w:hint="default" w:ascii="仿宋" w:hAnsi="仿宋" w:eastAsia="仿宋" w:cs="仿宋"/>
                <w:color w:val="auto"/>
                <w:spacing w:val="-1"/>
                <w:sz w:val="28"/>
                <w:szCs w:val="28"/>
                <w:highlight w:val="none"/>
                <w:lang w:val="en-US" w:eastAsia="zh-CN"/>
              </w:rPr>
              <w:t>自行踏勘并熟悉项目</w:t>
            </w:r>
            <w:r>
              <w:rPr>
                <w:rFonts w:hint="eastAsia" w:ascii="仿宋" w:hAnsi="仿宋" w:eastAsia="仿宋" w:cs="仿宋"/>
                <w:color w:val="auto"/>
                <w:spacing w:val="-1"/>
                <w:sz w:val="28"/>
                <w:szCs w:val="28"/>
                <w:highlight w:val="none"/>
                <w:lang w:val="en-US" w:eastAsia="zh-CN"/>
              </w:rPr>
              <w:t>基本情况以</w:t>
            </w:r>
            <w:r>
              <w:rPr>
                <w:rFonts w:hint="default" w:ascii="仿宋" w:hAnsi="仿宋" w:eastAsia="仿宋" w:cs="仿宋"/>
                <w:color w:val="auto"/>
                <w:spacing w:val="-1"/>
                <w:sz w:val="28"/>
                <w:szCs w:val="28"/>
                <w:highlight w:val="none"/>
                <w:lang w:val="en-US" w:eastAsia="zh-CN"/>
              </w:rPr>
              <w:t>及</w:t>
            </w:r>
            <w:r>
              <w:rPr>
                <w:rFonts w:hint="eastAsia" w:ascii="仿宋" w:hAnsi="仿宋" w:eastAsia="仿宋" w:cs="仿宋"/>
                <w:color w:val="auto"/>
                <w:spacing w:val="-1"/>
                <w:sz w:val="28"/>
                <w:szCs w:val="28"/>
                <w:highlight w:val="none"/>
                <w:lang w:val="en-US" w:eastAsia="zh-CN"/>
              </w:rPr>
              <w:t>院方</w:t>
            </w:r>
            <w:r>
              <w:rPr>
                <w:rFonts w:hint="default" w:ascii="仿宋" w:hAnsi="仿宋" w:eastAsia="仿宋" w:cs="仿宋"/>
                <w:color w:val="auto"/>
                <w:spacing w:val="-1"/>
                <w:sz w:val="28"/>
                <w:szCs w:val="28"/>
                <w:highlight w:val="none"/>
                <w:lang w:val="en-US" w:eastAsia="zh-CN"/>
              </w:rPr>
              <w:t>的</w:t>
            </w:r>
            <w:r>
              <w:rPr>
                <w:rFonts w:hint="eastAsia" w:ascii="仿宋" w:hAnsi="仿宋" w:eastAsia="仿宋" w:cs="仿宋"/>
                <w:color w:val="auto"/>
                <w:spacing w:val="-1"/>
                <w:sz w:val="28"/>
                <w:szCs w:val="28"/>
                <w:highlight w:val="none"/>
                <w:lang w:val="en-US" w:eastAsia="zh-CN"/>
              </w:rPr>
              <w:t>遴选</w:t>
            </w:r>
            <w:r>
              <w:rPr>
                <w:rFonts w:hint="default" w:ascii="仿宋" w:hAnsi="仿宋" w:eastAsia="仿宋" w:cs="仿宋"/>
                <w:color w:val="auto"/>
                <w:spacing w:val="-1"/>
                <w:sz w:val="28"/>
                <w:szCs w:val="28"/>
                <w:highlight w:val="none"/>
                <w:lang w:val="en-US" w:eastAsia="zh-CN"/>
              </w:rPr>
              <w:t>要求，了解一切可能影响</w:t>
            </w:r>
            <w:r>
              <w:rPr>
                <w:rFonts w:hint="eastAsia" w:ascii="仿宋" w:hAnsi="仿宋" w:eastAsia="仿宋" w:cs="仿宋"/>
                <w:color w:val="auto"/>
                <w:spacing w:val="-1"/>
                <w:sz w:val="28"/>
                <w:szCs w:val="28"/>
                <w:highlight w:val="none"/>
                <w:lang w:val="en-US" w:eastAsia="zh-CN"/>
              </w:rPr>
              <w:t>响应</w:t>
            </w:r>
            <w:r>
              <w:rPr>
                <w:rFonts w:hint="default" w:ascii="仿宋" w:hAnsi="仿宋" w:eastAsia="仿宋" w:cs="仿宋"/>
                <w:color w:val="auto"/>
                <w:spacing w:val="-1"/>
                <w:sz w:val="28"/>
                <w:szCs w:val="28"/>
                <w:highlight w:val="none"/>
                <w:lang w:val="en-US" w:eastAsia="zh-CN"/>
              </w:rPr>
              <w:t>的因素，且各</w:t>
            </w:r>
            <w:r>
              <w:rPr>
                <w:rFonts w:hint="eastAsia" w:ascii="仿宋" w:hAnsi="仿宋" w:eastAsia="仿宋" w:cs="仿宋"/>
                <w:color w:val="auto"/>
                <w:spacing w:val="-1"/>
                <w:sz w:val="28"/>
                <w:szCs w:val="28"/>
                <w:highlight w:val="none"/>
                <w:lang w:val="en-US" w:eastAsia="zh-CN"/>
              </w:rPr>
              <w:t>供应商</w:t>
            </w:r>
            <w:r>
              <w:rPr>
                <w:rFonts w:hint="default" w:ascii="仿宋" w:hAnsi="仿宋" w:eastAsia="仿宋" w:cs="仿宋"/>
                <w:color w:val="auto"/>
                <w:spacing w:val="-1"/>
                <w:sz w:val="28"/>
                <w:szCs w:val="28"/>
                <w:highlight w:val="none"/>
                <w:lang w:val="en-US" w:eastAsia="zh-CN"/>
              </w:rPr>
              <w:t>应对自行获得的资料、信息的正确性负全部责任，自行承担因此所需的费用。一旦中标，中标</w:t>
            </w:r>
            <w:r>
              <w:rPr>
                <w:rFonts w:hint="eastAsia" w:ascii="仿宋" w:hAnsi="仿宋" w:eastAsia="仿宋" w:cs="仿宋"/>
                <w:color w:val="auto"/>
                <w:spacing w:val="-1"/>
                <w:sz w:val="28"/>
                <w:szCs w:val="28"/>
                <w:highlight w:val="none"/>
                <w:lang w:val="en-US" w:eastAsia="zh-CN"/>
              </w:rPr>
              <w:t>供应商</w:t>
            </w:r>
            <w:r>
              <w:rPr>
                <w:rFonts w:hint="default" w:ascii="仿宋" w:hAnsi="仿宋" w:eastAsia="仿宋" w:cs="仿宋"/>
                <w:color w:val="auto"/>
                <w:spacing w:val="-1"/>
                <w:sz w:val="28"/>
                <w:szCs w:val="28"/>
                <w:highlight w:val="none"/>
                <w:lang w:val="en-US" w:eastAsia="zh-CN"/>
              </w:rPr>
              <w:t>不得以不完全了解项目</w:t>
            </w:r>
            <w:r>
              <w:rPr>
                <w:rFonts w:hint="eastAsia" w:ascii="仿宋" w:hAnsi="仿宋" w:eastAsia="仿宋" w:cs="仿宋"/>
                <w:color w:val="auto"/>
                <w:spacing w:val="-1"/>
                <w:sz w:val="28"/>
                <w:szCs w:val="28"/>
                <w:highlight w:val="none"/>
                <w:lang w:val="en-US" w:eastAsia="zh-CN"/>
              </w:rPr>
              <w:t>需求</w:t>
            </w:r>
            <w:r>
              <w:rPr>
                <w:rFonts w:hint="default" w:ascii="仿宋" w:hAnsi="仿宋" w:eastAsia="仿宋" w:cs="仿宋"/>
                <w:color w:val="auto"/>
                <w:spacing w:val="-1"/>
                <w:sz w:val="28"/>
                <w:szCs w:val="28"/>
                <w:highlight w:val="none"/>
                <w:lang w:val="en-US" w:eastAsia="zh-CN"/>
              </w:rPr>
              <w:t>为由，而提出额外的赔偿、补偿等要求，对此</w:t>
            </w:r>
            <w:r>
              <w:rPr>
                <w:rFonts w:hint="eastAsia" w:ascii="仿宋" w:hAnsi="仿宋" w:eastAsia="仿宋" w:cs="仿宋"/>
                <w:color w:val="auto"/>
                <w:spacing w:val="-1"/>
                <w:sz w:val="28"/>
                <w:szCs w:val="28"/>
                <w:highlight w:val="none"/>
                <w:lang w:val="en-US" w:eastAsia="zh-CN"/>
              </w:rPr>
              <w:t>院方</w:t>
            </w:r>
            <w:r>
              <w:rPr>
                <w:rFonts w:hint="default" w:ascii="仿宋" w:hAnsi="仿宋" w:eastAsia="仿宋" w:cs="仿宋"/>
                <w:color w:val="auto"/>
                <w:spacing w:val="-1"/>
                <w:sz w:val="28"/>
                <w:szCs w:val="28"/>
                <w:highlight w:val="none"/>
                <w:lang w:val="en-US" w:eastAsia="zh-CN"/>
              </w:rPr>
              <w:t>将不予采纳。</w:t>
            </w:r>
          </w:p>
        </w:tc>
      </w:tr>
      <w:tr w14:paraId="2B620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61" w:type="dxa"/>
            <w:vAlign w:val="center"/>
          </w:tcPr>
          <w:p w14:paraId="6E587D48">
            <w:pPr>
              <w:keepNext w:val="0"/>
              <w:keepLines w:val="0"/>
              <w:pageBreakBefore w:val="0"/>
              <w:overflowPunct/>
              <w:topLinePunct w:val="0"/>
              <w:bidi w:val="0"/>
              <w:spacing w:before="176" w:line="400" w:lineRule="exact"/>
              <w:ind w:left="354"/>
              <w:jc w:val="both"/>
              <w:rPr>
                <w:rFonts w:hint="default" w:ascii="仿宋" w:hAnsi="仿宋" w:eastAsia="仿宋" w:cs="仿宋"/>
                <w:b w:val="0"/>
                <w:bCs w:val="0"/>
                <w:color w:val="auto"/>
                <w:spacing w:val="-3"/>
                <w:sz w:val="28"/>
                <w:szCs w:val="28"/>
                <w:highlight w:val="none"/>
                <w:lang w:val="en-US" w:eastAsia="zh-CN"/>
              </w:rPr>
            </w:pPr>
            <w:r>
              <w:rPr>
                <w:rFonts w:hint="eastAsia" w:ascii="仿宋" w:hAnsi="仿宋" w:eastAsia="仿宋" w:cs="仿宋"/>
                <w:b w:val="0"/>
                <w:bCs w:val="0"/>
                <w:color w:val="auto"/>
                <w:spacing w:val="-3"/>
                <w:sz w:val="28"/>
                <w:szCs w:val="28"/>
                <w:highlight w:val="none"/>
                <w:lang w:val="en-US" w:eastAsia="zh-CN"/>
              </w:rPr>
              <w:t>8</w:t>
            </w:r>
          </w:p>
        </w:tc>
        <w:tc>
          <w:tcPr>
            <w:tcW w:w="1876" w:type="dxa"/>
            <w:shd w:val="clear" w:color="auto" w:fill="auto"/>
            <w:vAlign w:val="center"/>
          </w:tcPr>
          <w:p w14:paraId="15509A20">
            <w:pPr>
              <w:keepNext w:val="0"/>
              <w:keepLines w:val="0"/>
              <w:pageBreakBefore w:val="0"/>
              <w:overflowPunct/>
              <w:topLinePunct w:val="0"/>
              <w:bidi w:val="0"/>
              <w:spacing w:before="243" w:line="400" w:lineRule="exact"/>
              <w:jc w:val="center"/>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响应文件密封份数</w:t>
            </w:r>
          </w:p>
        </w:tc>
        <w:tc>
          <w:tcPr>
            <w:tcW w:w="6613" w:type="dxa"/>
            <w:shd w:val="clear" w:color="auto" w:fill="auto"/>
            <w:vAlign w:val="center"/>
          </w:tcPr>
          <w:p w14:paraId="1B8B8496">
            <w:pPr>
              <w:keepNext w:val="0"/>
              <w:keepLines w:val="0"/>
              <w:pageBreakBefore w:val="0"/>
              <w:overflowPunct/>
              <w:topLinePunct w:val="0"/>
              <w:bidi w:val="0"/>
              <w:spacing w:before="176" w:line="400" w:lineRule="exact"/>
              <w:ind w:left="112" w:leftChars="0" w:right="45" w:rightChars="0" w:firstLine="18" w:firstLineChars="0"/>
              <w:jc w:val="left"/>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份数：纸质版响应文件一式叁份（壹份正本、贰份副本）并胶装，电子版响应文件壹份（一般应为加盖公章PDF格式，U盘形式）。当纸质正本文件和电子版文件不一致时，以纸质正本文件为准。电子版文件用于存档，各供应商需承担前述不一致造成的不利后果。每份纸质文件须清楚标明“正本”或“副本”字样。一旦正本和副本不符，以正本为准。</w:t>
            </w:r>
          </w:p>
          <w:p w14:paraId="77B71EF5">
            <w:pPr>
              <w:keepNext w:val="0"/>
              <w:keepLines w:val="0"/>
              <w:pageBreakBefore w:val="0"/>
              <w:overflowPunct/>
              <w:topLinePunct w:val="0"/>
              <w:bidi w:val="0"/>
              <w:spacing w:before="176" w:line="400" w:lineRule="exact"/>
              <w:ind w:left="112" w:leftChars="0" w:right="45" w:rightChars="0" w:firstLine="18" w:firstLineChars="0"/>
              <w:jc w:val="left"/>
              <w:rPr>
                <w:rFonts w:hint="default"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密封：响应文件可以密封在一个档案袋中，也可以单独密封。</w:t>
            </w:r>
          </w:p>
        </w:tc>
      </w:tr>
      <w:tr w14:paraId="1C892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61" w:type="dxa"/>
            <w:vAlign w:val="center"/>
          </w:tcPr>
          <w:p w14:paraId="5BE7275A">
            <w:pPr>
              <w:keepNext w:val="0"/>
              <w:keepLines w:val="0"/>
              <w:pageBreakBefore w:val="0"/>
              <w:overflowPunct/>
              <w:topLinePunct w:val="0"/>
              <w:bidi w:val="0"/>
              <w:spacing w:before="176" w:line="400" w:lineRule="exact"/>
              <w:ind w:left="354"/>
              <w:jc w:val="both"/>
              <w:rPr>
                <w:rFonts w:hint="eastAsia" w:ascii="仿宋" w:hAnsi="仿宋" w:eastAsia="仿宋" w:cs="仿宋"/>
                <w:b w:val="0"/>
                <w:bCs w:val="0"/>
                <w:color w:val="auto"/>
                <w:spacing w:val="-3"/>
                <w:sz w:val="28"/>
                <w:szCs w:val="28"/>
                <w:highlight w:val="none"/>
                <w:lang w:val="en-US" w:eastAsia="zh-CN"/>
              </w:rPr>
            </w:pPr>
            <w:r>
              <w:rPr>
                <w:rFonts w:hint="eastAsia" w:ascii="仿宋" w:hAnsi="仿宋" w:eastAsia="仿宋" w:cs="仿宋"/>
                <w:b w:val="0"/>
                <w:bCs w:val="0"/>
                <w:color w:val="auto"/>
                <w:spacing w:val="-3"/>
                <w:sz w:val="28"/>
                <w:szCs w:val="28"/>
                <w:highlight w:val="none"/>
                <w:lang w:val="en-US" w:eastAsia="zh-CN"/>
              </w:rPr>
              <w:t>9</w:t>
            </w:r>
          </w:p>
        </w:tc>
        <w:tc>
          <w:tcPr>
            <w:tcW w:w="1876" w:type="dxa"/>
            <w:shd w:val="clear" w:color="auto" w:fill="auto"/>
            <w:vAlign w:val="center"/>
          </w:tcPr>
          <w:p w14:paraId="46835A83">
            <w:pPr>
              <w:keepNext w:val="0"/>
              <w:keepLines w:val="0"/>
              <w:pageBreakBefore w:val="0"/>
              <w:overflowPunct/>
              <w:topLinePunct w:val="0"/>
              <w:bidi w:val="0"/>
              <w:spacing w:before="243" w:line="40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响应文件的递交</w:t>
            </w:r>
          </w:p>
        </w:tc>
        <w:tc>
          <w:tcPr>
            <w:tcW w:w="6613" w:type="dxa"/>
            <w:shd w:val="clear" w:color="auto" w:fill="auto"/>
            <w:vAlign w:val="center"/>
          </w:tcPr>
          <w:p w14:paraId="6371BDC9">
            <w:pPr>
              <w:keepNext w:val="0"/>
              <w:keepLines w:val="0"/>
              <w:pageBreakBefore w:val="0"/>
              <w:overflowPunct/>
              <w:topLinePunct w:val="0"/>
              <w:bidi w:val="0"/>
              <w:spacing w:before="176" w:line="400" w:lineRule="exact"/>
              <w:ind w:left="112" w:leftChars="0" w:right="45" w:rightChars="0" w:firstLine="18" w:firstLineChars="0"/>
              <w:jc w:val="left"/>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截止时间：2026年</w:t>
            </w:r>
            <w:r>
              <w:rPr>
                <w:rFonts w:hint="eastAsia" w:ascii="仿宋" w:hAnsi="仿宋" w:eastAsia="仿宋" w:cs="仿宋"/>
                <w:color w:val="auto"/>
                <w:spacing w:val="1"/>
                <w:sz w:val="28"/>
                <w:szCs w:val="28"/>
                <w:highlight w:val="none"/>
                <w:lang w:val="en-US" w:eastAsia="zh-CN"/>
              </w:rPr>
              <w:t>10月26日</w:t>
            </w:r>
            <w:r>
              <w:rPr>
                <w:rFonts w:hint="eastAsia" w:ascii="仿宋" w:hAnsi="仿宋" w:eastAsia="仿宋" w:cs="仿宋"/>
                <w:color w:val="auto"/>
                <w:spacing w:val="-1"/>
                <w:sz w:val="28"/>
                <w:szCs w:val="28"/>
                <w:highlight w:val="none"/>
                <w:lang w:val="en-US" w:eastAsia="zh-CN"/>
              </w:rPr>
              <w:t>09点30分</w:t>
            </w:r>
          </w:p>
          <w:p w14:paraId="3988B113">
            <w:pPr>
              <w:keepNext w:val="0"/>
              <w:keepLines w:val="0"/>
              <w:pageBreakBefore w:val="0"/>
              <w:overflowPunct/>
              <w:topLinePunct w:val="0"/>
              <w:bidi w:val="0"/>
              <w:spacing w:before="176" w:line="400" w:lineRule="exact"/>
              <w:ind w:left="112" w:leftChars="0" w:right="45" w:rightChars="0" w:firstLine="18" w:firstLineChars="0"/>
              <w:jc w:val="left"/>
              <w:rPr>
                <w:rFonts w:hint="eastAsia" w:ascii="仿宋" w:hAnsi="仿宋" w:eastAsia="仿宋" w:cs="仿宋"/>
                <w:color w:val="auto"/>
                <w:spacing w:val="-1"/>
                <w:sz w:val="28"/>
                <w:szCs w:val="28"/>
                <w:highlight w:val="none"/>
                <w:lang w:val="en-US" w:eastAsia="zh-CN"/>
              </w:rPr>
            </w:pPr>
            <w:r>
              <w:rPr>
                <w:rFonts w:hint="eastAsia" w:ascii="仿宋" w:hAnsi="仿宋" w:eastAsia="仿宋" w:cs="仿宋"/>
                <w:color w:val="auto"/>
                <w:spacing w:val="-1"/>
                <w:sz w:val="28"/>
                <w:szCs w:val="28"/>
                <w:highlight w:val="none"/>
                <w:lang w:val="en-US" w:eastAsia="zh-CN"/>
              </w:rPr>
              <w:t>递交地点：</w:t>
            </w:r>
            <w:r>
              <w:rPr>
                <w:rFonts w:ascii="仿宋" w:hAnsi="仿宋" w:eastAsia="仿宋" w:cs="仿宋"/>
                <w:color w:val="auto"/>
                <w:spacing w:val="2"/>
                <w:sz w:val="28"/>
                <w:szCs w:val="28"/>
                <w:highlight w:val="none"/>
              </w:rPr>
              <w:t>南京市溧水区中医院后勤楼</w:t>
            </w:r>
            <w:r>
              <w:rPr>
                <w:rFonts w:hint="eastAsia" w:ascii="仿宋" w:hAnsi="仿宋" w:eastAsia="仿宋" w:cs="仿宋"/>
                <w:color w:val="auto"/>
                <w:spacing w:val="2"/>
                <w:sz w:val="28"/>
                <w:szCs w:val="28"/>
                <w:highlight w:val="none"/>
              </w:rPr>
              <w:t>2楼</w:t>
            </w:r>
            <w:r>
              <w:rPr>
                <w:rFonts w:hint="eastAsia" w:ascii="仿宋" w:hAnsi="仿宋" w:eastAsia="仿宋" w:cs="仿宋"/>
                <w:color w:val="auto"/>
                <w:spacing w:val="2"/>
                <w:sz w:val="28"/>
                <w:szCs w:val="28"/>
                <w:highlight w:val="none"/>
                <w:lang w:val="en-US" w:eastAsia="zh-CN"/>
              </w:rPr>
              <w:t>评标室</w:t>
            </w:r>
          </w:p>
        </w:tc>
      </w:tr>
      <w:tr w14:paraId="73714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961" w:type="dxa"/>
            <w:vAlign w:val="center"/>
          </w:tcPr>
          <w:p w14:paraId="43506967">
            <w:pPr>
              <w:keepNext w:val="0"/>
              <w:keepLines w:val="0"/>
              <w:pageBreakBefore w:val="0"/>
              <w:overflowPunct/>
              <w:topLinePunct w:val="0"/>
              <w:bidi w:val="0"/>
              <w:spacing w:before="176" w:line="400" w:lineRule="exact"/>
              <w:ind w:left="354"/>
              <w:jc w:val="both"/>
              <w:rPr>
                <w:rFonts w:hint="default" w:ascii="仿宋" w:hAnsi="仿宋" w:eastAsia="仿宋" w:cs="仿宋"/>
                <w:b w:val="0"/>
                <w:bCs w:val="0"/>
                <w:color w:val="auto"/>
                <w:spacing w:val="-3"/>
                <w:sz w:val="28"/>
                <w:szCs w:val="28"/>
                <w:highlight w:val="none"/>
                <w:lang w:val="en-US" w:eastAsia="zh-CN"/>
              </w:rPr>
            </w:pPr>
            <w:r>
              <w:rPr>
                <w:rFonts w:hint="eastAsia" w:ascii="仿宋" w:hAnsi="仿宋" w:eastAsia="仿宋" w:cs="仿宋"/>
                <w:b w:val="0"/>
                <w:bCs w:val="0"/>
                <w:color w:val="auto"/>
                <w:spacing w:val="-3"/>
                <w:sz w:val="28"/>
                <w:szCs w:val="28"/>
                <w:highlight w:val="none"/>
                <w:lang w:val="en-US" w:eastAsia="zh-CN"/>
              </w:rPr>
              <w:t>10</w:t>
            </w:r>
          </w:p>
        </w:tc>
        <w:tc>
          <w:tcPr>
            <w:tcW w:w="1876" w:type="dxa"/>
            <w:shd w:val="clear" w:color="auto" w:fill="auto"/>
            <w:vAlign w:val="center"/>
          </w:tcPr>
          <w:p w14:paraId="0A84CC7D">
            <w:pPr>
              <w:keepNext w:val="0"/>
              <w:keepLines w:val="0"/>
              <w:pageBreakBefore w:val="0"/>
              <w:overflowPunct/>
              <w:topLinePunct w:val="0"/>
              <w:bidi w:val="0"/>
              <w:spacing w:before="78" w:line="400" w:lineRule="exact"/>
              <w:jc w:val="center"/>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是否允许递交备选方案</w:t>
            </w:r>
          </w:p>
        </w:tc>
        <w:tc>
          <w:tcPr>
            <w:tcW w:w="6613" w:type="dxa"/>
            <w:shd w:val="clear" w:color="auto" w:fill="auto"/>
            <w:vAlign w:val="center"/>
          </w:tcPr>
          <w:p w14:paraId="0338B06D">
            <w:pPr>
              <w:keepNext w:val="0"/>
              <w:keepLines w:val="0"/>
              <w:pageBreakBefore w:val="0"/>
              <w:overflowPunct/>
              <w:topLinePunct w:val="0"/>
              <w:bidi w:val="0"/>
              <w:spacing w:before="148" w:line="400" w:lineRule="exact"/>
              <w:ind w:left="116" w:leftChars="0"/>
              <w:jc w:val="left"/>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不允许</w:t>
            </w:r>
          </w:p>
        </w:tc>
      </w:tr>
      <w:tr w14:paraId="1864C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961" w:type="dxa"/>
            <w:vAlign w:val="center"/>
          </w:tcPr>
          <w:p w14:paraId="16494300">
            <w:pPr>
              <w:keepNext w:val="0"/>
              <w:keepLines w:val="0"/>
              <w:pageBreakBefore w:val="0"/>
              <w:overflowPunct/>
              <w:topLinePunct w:val="0"/>
              <w:bidi w:val="0"/>
              <w:spacing w:before="176" w:line="400" w:lineRule="exact"/>
              <w:ind w:left="354"/>
              <w:jc w:val="both"/>
              <w:rPr>
                <w:rFonts w:hint="default" w:ascii="仿宋" w:hAnsi="仿宋" w:eastAsia="仿宋" w:cs="仿宋"/>
                <w:b w:val="0"/>
                <w:bCs w:val="0"/>
                <w:color w:val="auto"/>
                <w:spacing w:val="-3"/>
                <w:sz w:val="28"/>
                <w:szCs w:val="28"/>
                <w:highlight w:val="none"/>
                <w:lang w:val="en-US" w:eastAsia="zh-CN"/>
              </w:rPr>
            </w:pPr>
            <w:r>
              <w:rPr>
                <w:rFonts w:hint="eastAsia" w:ascii="仿宋" w:hAnsi="仿宋" w:eastAsia="仿宋" w:cs="仿宋"/>
                <w:b w:val="0"/>
                <w:bCs w:val="0"/>
                <w:color w:val="auto"/>
                <w:spacing w:val="-3"/>
                <w:sz w:val="28"/>
                <w:szCs w:val="28"/>
                <w:highlight w:val="none"/>
                <w:lang w:val="en-US" w:eastAsia="zh-CN"/>
              </w:rPr>
              <w:t>11</w:t>
            </w:r>
          </w:p>
        </w:tc>
        <w:tc>
          <w:tcPr>
            <w:tcW w:w="1876" w:type="dxa"/>
            <w:shd w:val="clear" w:color="auto" w:fill="auto"/>
            <w:vAlign w:val="center"/>
          </w:tcPr>
          <w:p w14:paraId="7144498C">
            <w:pPr>
              <w:keepNext w:val="0"/>
              <w:keepLines w:val="0"/>
              <w:pageBreakBefore w:val="0"/>
              <w:overflowPunct/>
              <w:topLinePunct w:val="0"/>
              <w:bidi w:val="0"/>
              <w:spacing w:before="78" w:line="400" w:lineRule="exact"/>
              <w:jc w:val="center"/>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中标供应商的确定</w:t>
            </w:r>
          </w:p>
        </w:tc>
        <w:tc>
          <w:tcPr>
            <w:tcW w:w="6613" w:type="dxa"/>
            <w:shd w:val="clear" w:color="auto" w:fill="auto"/>
            <w:vAlign w:val="center"/>
          </w:tcPr>
          <w:p w14:paraId="2EAD4502">
            <w:pPr>
              <w:keepNext w:val="0"/>
              <w:keepLines w:val="0"/>
              <w:pageBreakBefore w:val="0"/>
              <w:overflowPunct/>
              <w:topLinePunct w:val="0"/>
              <w:bidi w:val="0"/>
              <w:spacing w:before="148" w:line="400" w:lineRule="exact"/>
              <w:jc w:val="left"/>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总得分最高的为中标供应商。</w:t>
            </w:r>
          </w:p>
        </w:tc>
      </w:tr>
    </w:tbl>
    <w:p w14:paraId="70660283">
      <w:pPr>
        <w:keepNext w:val="0"/>
        <w:keepLines w:val="0"/>
        <w:pageBreakBefore w:val="0"/>
        <w:overflowPunct/>
        <w:topLinePunct w:val="0"/>
        <w:bidi w:val="0"/>
        <w:spacing w:line="400" w:lineRule="exact"/>
        <w:rPr>
          <w:rFonts w:ascii="Arial"/>
          <w:color w:val="auto"/>
          <w:sz w:val="21"/>
          <w:highlight w:val="none"/>
        </w:rPr>
      </w:pPr>
    </w:p>
    <w:p w14:paraId="7577D738">
      <w:pPr>
        <w:keepNext w:val="0"/>
        <w:keepLines w:val="0"/>
        <w:pageBreakBefore w:val="0"/>
        <w:overflowPunct/>
        <w:topLinePunct w:val="0"/>
        <w:bidi w:val="0"/>
        <w:spacing w:line="400" w:lineRule="exact"/>
        <w:rPr>
          <w:rFonts w:ascii="Arial" w:hAnsi="Arial" w:eastAsia="Arial" w:cs="Arial"/>
          <w:color w:val="auto"/>
          <w:sz w:val="21"/>
          <w:szCs w:val="21"/>
          <w:highlight w:val="none"/>
        </w:rPr>
        <w:sectPr>
          <w:footerReference r:id="rId5" w:type="default"/>
          <w:pgSz w:w="11907" w:h="16840"/>
          <w:pgMar w:top="1417" w:right="1417" w:bottom="1417" w:left="1417" w:header="0" w:footer="1037" w:gutter="0"/>
          <w:cols w:space="720" w:num="1"/>
        </w:sectPr>
      </w:pPr>
    </w:p>
    <w:p w14:paraId="5B969E33">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r>
        <w:rPr>
          <w:rFonts w:hint="eastAsia" w:ascii="宋体" w:hAnsi="宋体" w:eastAsia="宋体" w:cs="黑体"/>
          <w:b/>
          <w:color w:val="auto"/>
          <w:kern w:val="2"/>
          <w:sz w:val="36"/>
          <w:szCs w:val="36"/>
          <w:highlight w:val="none"/>
          <w:lang w:val="en-US" w:eastAsia="zh-CN" w:bidi="ar-SA"/>
        </w:rPr>
        <w:t xml:space="preserve">第三章 </w:t>
      </w:r>
      <w:r>
        <w:rPr>
          <w:rFonts w:hint="eastAsia" w:ascii="宋体" w:hAnsi="宋体" w:cs="黑体"/>
          <w:b/>
          <w:color w:val="auto"/>
          <w:kern w:val="2"/>
          <w:sz w:val="36"/>
          <w:szCs w:val="36"/>
          <w:highlight w:val="none"/>
          <w:lang w:val="en-US" w:eastAsia="zh-CN" w:bidi="ar-SA"/>
        </w:rPr>
        <w:t>参与遴选供应商</w:t>
      </w:r>
      <w:r>
        <w:rPr>
          <w:rFonts w:hint="eastAsia" w:ascii="宋体" w:hAnsi="宋体" w:eastAsia="宋体" w:cs="黑体"/>
          <w:b/>
          <w:color w:val="auto"/>
          <w:kern w:val="2"/>
          <w:sz w:val="36"/>
          <w:szCs w:val="36"/>
          <w:highlight w:val="none"/>
          <w:lang w:val="en-US" w:eastAsia="zh-CN" w:bidi="ar-SA"/>
        </w:rPr>
        <w:t>须知</w:t>
      </w:r>
    </w:p>
    <w:p w14:paraId="5B9F9205">
      <w:pPr>
        <w:pStyle w:val="8"/>
        <w:keepNext w:val="0"/>
        <w:keepLines w:val="0"/>
        <w:pageBreakBefore w:val="0"/>
        <w:overflowPunct/>
        <w:topLinePunct w:val="0"/>
        <w:bidi w:val="0"/>
        <w:spacing w:before="78" w:line="400" w:lineRule="exact"/>
        <w:ind w:left="3985"/>
        <w:outlineLvl w:val="0"/>
        <w:rPr>
          <w:rFonts w:hint="eastAsia" w:ascii="仿宋" w:hAnsi="仿宋" w:eastAsia="仿宋" w:cs="仿宋"/>
          <w:b/>
          <w:bCs/>
          <w:color w:val="auto"/>
          <w:spacing w:val="-12"/>
          <w:sz w:val="28"/>
          <w:szCs w:val="28"/>
          <w:highlight w:val="none"/>
        </w:rPr>
      </w:pPr>
    </w:p>
    <w:p w14:paraId="17F6666C">
      <w:pPr>
        <w:pStyle w:val="8"/>
        <w:keepNext w:val="0"/>
        <w:keepLines w:val="0"/>
        <w:pageBreakBefore w:val="0"/>
        <w:overflowPunct/>
        <w:topLinePunct w:val="0"/>
        <w:bidi w:val="0"/>
        <w:spacing w:before="78" w:line="400" w:lineRule="exact"/>
        <w:ind w:left="3985"/>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pacing w:val="-12"/>
          <w:sz w:val="28"/>
          <w:szCs w:val="28"/>
          <w:highlight w:val="none"/>
        </w:rPr>
        <w:t>一</w:t>
      </w:r>
      <w:r>
        <w:rPr>
          <w:rFonts w:hint="eastAsia" w:ascii="仿宋" w:hAnsi="仿宋" w:eastAsia="仿宋" w:cs="仿宋"/>
          <w:b/>
          <w:bCs/>
          <w:color w:val="auto"/>
          <w:spacing w:val="-94"/>
          <w:sz w:val="28"/>
          <w:szCs w:val="28"/>
          <w:highlight w:val="none"/>
        </w:rPr>
        <w:t xml:space="preserve"> </w:t>
      </w:r>
      <w:r>
        <w:rPr>
          <w:rFonts w:hint="eastAsia" w:ascii="仿宋" w:hAnsi="仿宋" w:eastAsia="仿宋" w:cs="仿宋"/>
          <w:b/>
          <w:bCs/>
          <w:color w:val="auto"/>
          <w:spacing w:val="-12"/>
          <w:sz w:val="28"/>
          <w:szCs w:val="28"/>
          <w:highlight w:val="none"/>
        </w:rPr>
        <w:t>、总</w:t>
      </w:r>
      <w:r>
        <w:rPr>
          <w:rFonts w:hint="eastAsia" w:ascii="仿宋" w:hAnsi="仿宋" w:eastAsia="仿宋" w:cs="仿宋"/>
          <w:b/>
          <w:bCs/>
          <w:color w:val="auto"/>
          <w:spacing w:val="4"/>
          <w:sz w:val="28"/>
          <w:szCs w:val="28"/>
          <w:highlight w:val="none"/>
        </w:rPr>
        <w:t xml:space="preserve">    </w:t>
      </w:r>
      <w:r>
        <w:rPr>
          <w:rFonts w:hint="eastAsia" w:ascii="仿宋" w:hAnsi="仿宋" w:eastAsia="仿宋" w:cs="仿宋"/>
          <w:b/>
          <w:bCs/>
          <w:color w:val="auto"/>
          <w:spacing w:val="-12"/>
          <w:sz w:val="28"/>
          <w:szCs w:val="28"/>
          <w:highlight w:val="none"/>
        </w:rPr>
        <w:t>则</w:t>
      </w:r>
    </w:p>
    <w:p w14:paraId="01FC0DDA">
      <w:pPr>
        <w:keepNext w:val="0"/>
        <w:keepLines w:val="0"/>
        <w:pageBreakBefore w:val="0"/>
        <w:overflowPunct/>
        <w:topLinePunct w:val="0"/>
        <w:bidi w:val="0"/>
        <w:spacing w:line="400" w:lineRule="exact"/>
        <w:rPr>
          <w:rFonts w:hint="eastAsia" w:ascii="仿宋" w:hAnsi="仿宋" w:eastAsia="仿宋" w:cs="仿宋"/>
          <w:color w:val="auto"/>
          <w:sz w:val="28"/>
          <w:szCs w:val="28"/>
          <w:highlight w:val="none"/>
        </w:rPr>
      </w:pPr>
    </w:p>
    <w:p w14:paraId="2FA20057">
      <w:pPr>
        <w:pStyle w:val="8"/>
        <w:keepNext w:val="0"/>
        <w:keepLines w:val="0"/>
        <w:pageBreakBefore w:val="0"/>
        <w:widowControl w:val="0"/>
        <w:kinsoku/>
        <w:wordWrap/>
        <w:overflowPunct/>
        <w:topLinePunct w:val="0"/>
        <w:autoSpaceDE/>
        <w:autoSpaceDN/>
        <w:bidi w:val="0"/>
        <w:adjustRightInd w:val="0"/>
        <w:snapToGrid w:val="0"/>
        <w:spacing w:line="400" w:lineRule="exact"/>
        <w:ind w:left="485"/>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7"/>
          <w:sz w:val="28"/>
          <w:szCs w:val="28"/>
          <w:highlight w:val="none"/>
        </w:rPr>
        <w:t>1.适用范围</w:t>
      </w:r>
    </w:p>
    <w:p w14:paraId="54DEE1C1">
      <w:pPr>
        <w:pStyle w:val="8"/>
        <w:keepNext w:val="0"/>
        <w:keepLines w:val="0"/>
        <w:pageBreakBefore w:val="0"/>
        <w:widowControl w:val="0"/>
        <w:kinsoku/>
        <w:wordWrap/>
        <w:overflowPunct/>
        <w:topLinePunct w:val="0"/>
        <w:autoSpaceDE/>
        <w:autoSpaceDN/>
        <w:bidi w:val="0"/>
        <w:adjustRightInd w:val="0"/>
        <w:snapToGrid w:val="0"/>
        <w:spacing w:line="400" w:lineRule="exact"/>
        <w:ind w:left="485"/>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1.1</w:t>
      </w:r>
      <w:r>
        <w:rPr>
          <w:rFonts w:hint="eastAsia" w:ascii="仿宋" w:hAnsi="仿宋" w:eastAsia="仿宋" w:cs="仿宋"/>
          <w:color w:val="auto"/>
          <w:spacing w:val="-33"/>
          <w:sz w:val="28"/>
          <w:szCs w:val="28"/>
          <w:highlight w:val="none"/>
        </w:rPr>
        <w:t xml:space="preserve"> </w:t>
      </w:r>
      <w:r>
        <w:rPr>
          <w:rFonts w:hint="eastAsia" w:ascii="仿宋" w:hAnsi="仿宋" w:eastAsia="仿宋" w:cs="仿宋"/>
          <w:color w:val="auto"/>
          <w:spacing w:val="-2"/>
          <w:sz w:val="28"/>
          <w:szCs w:val="28"/>
          <w:highlight w:val="none"/>
        </w:rPr>
        <w:t>本</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文件仅适用于本次公开</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所述的服务项目。</w:t>
      </w:r>
    </w:p>
    <w:p w14:paraId="6BFF8B37">
      <w:pPr>
        <w:pStyle w:val="8"/>
        <w:keepNext w:val="0"/>
        <w:keepLines w:val="0"/>
        <w:pageBreakBefore w:val="0"/>
        <w:widowControl w:val="0"/>
        <w:kinsoku/>
        <w:wordWrap/>
        <w:overflowPunct/>
        <w:topLinePunct w:val="0"/>
        <w:autoSpaceDE/>
        <w:autoSpaceDN/>
        <w:bidi w:val="0"/>
        <w:adjustRightInd w:val="0"/>
        <w:snapToGrid w:val="0"/>
        <w:spacing w:line="400" w:lineRule="exact"/>
        <w:ind w:left="470"/>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2.有关定义</w:t>
      </w:r>
    </w:p>
    <w:p w14:paraId="7A41EB88">
      <w:pPr>
        <w:pStyle w:val="8"/>
        <w:keepNext w:val="0"/>
        <w:keepLines w:val="0"/>
        <w:pageBreakBefore w:val="0"/>
        <w:widowControl w:val="0"/>
        <w:kinsoku/>
        <w:wordWrap/>
        <w:overflowPunct/>
        <w:topLinePunct w:val="0"/>
        <w:autoSpaceDE/>
        <w:autoSpaceDN/>
        <w:bidi w:val="0"/>
        <w:adjustRightInd w:val="0"/>
        <w:snapToGrid w:val="0"/>
        <w:spacing w:line="400" w:lineRule="exact"/>
        <w:ind w:left="14" w:right="42" w:firstLine="456"/>
        <w:textAlignment w:val="auto"/>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.1 “</w:t>
      </w:r>
      <w:r>
        <w:rPr>
          <w:rFonts w:hint="eastAsia" w:ascii="仿宋" w:hAnsi="仿宋" w:eastAsia="仿宋" w:cs="仿宋"/>
          <w:color w:val="auto"/>
          <w:spacing w:val="-1"/>
          <w:sz w:val="28"/>
          <w:szCs w:val="28"/>
          <w:highlight w:val="none"/>
          <w:lang w:val="en-US" w:eastAsia="zh-CN"/>
        </w:rPr>
        <w:t>供应商</w:t>
      </w:r>
      <w:r>
        <w:rPr>
          <w:rFonts w:hint="eastAsia" w:ascii="仿宋" w:hAnsi="仿宋" w:eastAsia="仿宋" w:cs="仿宋"/>
          <w:color w:val="auto"/>
          <w:spacing w:val="-1"/>
          <w:sz w:val="28"/>
          <w:szCs w:val="28"/>
          <w:highlight w:val="none"/>
        </w:rPr>
        <w:t>”是指参加</w:t>
      </w:r>
      <w:r>
        <w:rPr>
          <w:rFonts w:hint="eastAsia" w:ascii="仿宋" w:hAnsi="仿宋" w:eastAsia="仿宋" w:cs="仿宋"/>
          <w:color w:val="auto"/>
          <w:spacing w:val="-1"/>
          <w:sz w:val="28"/>
          <w:szCs w:val="28"/>
          <w:highlight w:val="none"/>
          <w:lang w:val="en-US" w:eastAsia="zh-CN"/>
        </w:rPr>
        <w:t>遴选</w:t>
      </w:r>
      <w:r>
        <w:rPr>
          <w:rFonts w:hint="eastAsia" w:ascii="仿宋" w:hAnsi="仿宋" w:eastAsia="仿宋" w:cs="仿宋"/>
          <w:color w:val="auto"/>
          <w:spacing w:val="-1"/>
          <w:sz w:val="28"/>
          <w:szCs w:val="28"/>
          <w:highlight w:val="none"/>
        </w:rPr>
        <w:t>竞争，并符合</w:t>
      </w:r>
      <w:r>
        <w:rPr>
          <w:rFonts w:hint="eastAsia" w:ascii="仿宋" w:hAnsi="仿宋" w:eastAsia="仿宋" w:cs="仿宋"/>
          <w:color w:val="auto"/>
          <w:spacing w:val="-1"/>
          <w:sz w:val="28"/>
          <w:szCs w:val="28"/>
          <w:highlight w:val="none"/>
          <w:lang w:val="en-US" w:eastAsia="zh-CN"/>
        </w:rPr>
        <w:t>遴选</w:t>
      </w:r>
      <w:r>
        <w:rPr>
          <w:rFonts w:hint="eastAsia" w:ascii="仿宋" w:hAnsi="仿宋" w:eastAsia="仿宋" w:cs="仿宋"/>
          <w:color w:val="auto"/>
          <w:spacing w:val="-1"/>
          <w:sz w:val="28"/>
          <w:szCs w:val="28"/>
          <w:highlight w:val="none"/>
        </w:rPr>
        <w:t>文件规定资格条件的法人、其他组织或者自然人。</w:t>
      </w:r>
    </w:p>
    <w:p w14:paraId="76E3463B">
      <w:pPr>
        <w:pStyle w:val="8"/>
        <w:keepNext w:val="0"/>
        <w:keepLines w:val="0"/>
        <w:pageBreakBefore w:val="0"/>
        <w:widowControl w:val="0"/>
        <w:kinsoku/>
        <w:wordWrap/>
        <w:overflowPunct/>
        <w:topLinePunct w:val="0"/>
        <w:autoSpaceDE/>
        <w:autoSpaceDN/>
        <w:bidi w:val="0"/>
        <w:adjustRightInd w:val="0"/>
        <w:snapToGrid w:val="0"/>
        <w:spacing w:line="400" w:lineRule="exact"/>
        <w:ind w:left="14" w:right="42" w:firstLine="456"/>
        <w:textAlignment w:val="auto"/>
        <w:rPr>
          <w:rFonts w:hint="eastAsia" w:ascii="仿宋" w:hAnsi="仿宋" w:eastAsia="仿宋" w:cs="仿宋"/>
          <w:color w:val="auto"/>
          <w:spacing w:val="-1"/>
          <w:sz w:val="28"/>
          <w:szCs w:val="28"/>
          <w:highlight w:val="none"/>
        </w:rPr>
      </w:pP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.2 “货物和服务”指本</w:t>
      </w:r>
      <w:r>
        <w:rPr>
          <w:rFonts w:hint="eastAsia" w:ascii="仿宋" w:hAnsi="仿宋" w:eastAsia="仿宋" w:cs="仿宋"/>
          <w:color w:val="auto"/>
          <w:spacing w:val="-1"/>
          <w:sz w:val="28"/>
          <w:szCs w:val="28"/>
          <w:highlight w:val="none"/>
          <w:lang w:eastAsia="zh-CN"/>
        </w:rPr>
        <w:t>遴选文件</w:t>
      </w:r>
      <w:r>
        <w:rPr>
          <w:rFonts w:hint="eastAsia" w:ascii="仿宋" w:hAnsi="仿宋" w:eastAsia="仿宋" w:cs="仿宋"/>
          <w:color w:val="auto"/>
          <w:spacing w:val="-1"/>
          <w:sz w:val="28"/>
          <w:szCs w:val="28"/>
          <w:highlight w:val="none"/>
        </w:rPr>
        <w:t>中所述产品及相关服务。</w:t>
      </w:r>
    </w:p>
    <w:p w14:paraId="7A6A892D">
      <w:pPr>
        <w:pStyle w:val="8"/>
        <w:keepNext w:val="0"/>
        <w:keepLines w:val="0"/>
        <w:pageBreakBefore w:val="0"/>
        <w:widowControl w:val="0"/>
        <w:kinsoku/>
        <w:wordWrap/>
        <w:overflowPunct/>
        <w:topLinePunct w:val="0"/>
        <w:autoSpaceDE/>
        <w:autoSpaceDN/>
        <w:bidi w:val="0"/>
        <w:adjustRightInd w:val="0"/>
        <w:snapToGrid w:val="0"/>
        <w:spacing w:line="400" w:lineRule="exact"/>
        <w:ind w:left="14" w:right="42" w:firstLine="45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.3 “</w:t>
      </w:r>
      <w:r>
        <w:rPr>
          <w:rFonts w:hint="eastAsia" w:ascii="仿宋" w:hAnsi="仿宋" w:eastAsia="仿宋" w:cs="仿宋"/>
          <w:color w:val="auto"/>
          <w:spacing w:val="-1"/>
          <w:sz w:val="28"/>
          <w:szCs w:val="28"/>
          <w:highlight w:val="none"/>
          <w:lang w:val="en-US" w:eastAsia="zh-CN"/>
        </w:rPr>
        <w:t>院方</w:t>
      </w:r>
      <w:r>
        <w:rPr>
          <w:rFonts w:hint="eastAsia" w:ascii="仿宋" w:hAnsi="仿宋" w:eastAsia="仿宋" w:cs="仿宋"/>
          <w:color w:val="auto"/>
          <w:spacing w:val="-1"/>
          <w:sz w:val="28"/>
          <w:szCs w:val="28"/>
          <w:highlight w:val="none"/>
        </w:rPr>
        <w:t>或使用单位”是指使用服务的单位。</w:t>
      </w:r>
    </w:p>
    <w:p w14:paraId="0FAC985F">
      <w:pPr>
        <w:pStyle w:val="8"/>
        <w:keepNext w:val="0"/>
        <w:keepLines w:val="0"/>
        <w:pageBreakBefore w:val="0"/>
        <w:widowControl w:val="0"/>
        <w:kinsoku/>
        <w:wordWrap/>
        <w:overflowPunct/>
        <w:topLinePunct w:val="0"/>
        <w:autoSpaceDE/>
        <w:autoSpaceDN/>
        <w:bidi w:val="0"/>
        <w:adjustRightInd w:val="0"/>
        <w:snapToGrid w:val="0"/>
        <w:spacing w:line="400" w:lineRule="exact"/>
        <w:ind w:left="472"/>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3.</w:t>
      </w:r>
      <w:r>
        <w:rPr>
          <w:rFonts w:hint="eastAsia" w:ascii="仿宋" w:hAnsi="仿宋" w:eastAsia="仿宋" w:cs="仿宋"/>
          <w:b/>
          <w:bCs/>
          <w:color w:val="auto"/>
          <w:spacing w:val="-5"/>
          <w:sz w:val="28"/>
          <w:szCs w:val="28"/>
          <w:highlight w:val="none"/>
          <w:lang w:eastAsia="zh-CN"/>
        </w:rPr>
        <w:t>遴选</w:t>
      </w:r>
      <w:r>
        <w:rPr>
          <w:rFonts w:hint="eastAsia" w:ascii="仿宋" w:hAnsi="仿宋" w:eastAsia="仿宋" w:cs="仿宋"/>
          <w:b/>
          <w:bCs/>
          <w:color w:val="auto"/>
          <w:spacing w:val="-5"/>
          <w:sz w:val="28"/>
          <w:szCs w:val="28"/>
          <w:highlight w:val="none"/>
        </w:rPr>
        <w:t>费用</w:t>
      </w:r>
    </w:p>
    <w:p w14:paraId="2B562239">
      <w:pPr>
        <w:pStyle w:val="8"/>
        <w:keepNext w:val="0"/>
        <w:keepLines w:val="0"/>
        <w:pageBreakBefore w:val="0"/>
        <w:widowControl w:val="0"/>
        <w:kinsoku/>
        <w:wordWrap/>
        <w:overflowPunct/>
        <w:topLinePunct w:val="0"/>
        <w:autoSpaceDE/>
        <w:autoSpaceDN/>
        <w:bidi w:val="0"/>
        <w:adjustRightInd w:val="0"/>
        <w:snapToGrid w:val="0"/>
        <w:spacing w:line="400" w:lineRule="exact"/>
        <w:ind w:left="13" w:firstLine="47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3.1</w:t>
      </w:r>
      <w:r>
        <w:rPr>
          <w:rFonts w:hint="eastAsia" w:ascii="仿宋" w:hAnsi="仿宋" w:eastAsia="仿宋" w:cs="仿宋"/>
          <w:color w:val="auto"/>
          <w:spacing w:val="-39"/>
          <w:sz w:val="28"/>
          <w:szCs w:val="28"/>
          <w:highlight w:val="none"/>
        </w:rPr>
        <w:t xml:space="preserve"> </w:t>
      </w:r>
      <w:r>
        <w:rPr>
          <w:rFonts w:hint="eastAsia" w:ascii="仿宋" w:hAnsi="仿宋" w:eastAsia="仿宋" w:cs="仿宋"/>
          <w:color w:val="auto"/>
          <w:spacing w:val="2"/>
          <w:sz w:val="28"/>
          <w:szCs w:val="28"/>
          <w:highlight w:val="none"/>
        </w:rPr>
        <w:t>无论</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结果如何，</w:t>
      </w:r>
      <w:r>
        <w:rPr>
          <w:rFonts w:hint="eastAsia" w:ascii="仿宋" w:hAnsi="仿宋" w:eastAsia="仿宋" w:cs="仿宋"/>
          <w:color w:val="auto"/>
          <w:spacing w:val="2"/>
          <w:sz w:val="28"/>
          <w:szCs w:val="28"/>
          <w:highlight w:val="none"/>
          <w:lang w:eastAsia="zh-CN"/>
        </w:rPr>
        <w:t>参与遴选供应商</w:t>
      </w:r>
      <w:r>
        <w:rPr>
          <w:rFonts w:hint="eastAsia" w:ascii="仿宋" w:hAnsi="仿宋" w:eastAsia="仿宋" w:cs="仿宋"/>
          <w:color w:val="auto"/>
          <w:spacing w:val="2"/>
          <w:sz w:val="28"/>
          <w:szCs w:val="28"/>
          <w:highlight w:val="none"/>
        </w:rPr>
        <w:t>应自行承担其编制与递交</w:t>
      </w:r>
      <w:r>
        <w:rPr>
          <w:rFonts w:hint="eastAsia" w:ascii="仿宋" w:hAnsi="仿宋" w:eastAsia="仿宋" w:cs="仿宋"/>
          <w:color w:val="auto"/>
          <w:spacing w:val="2"/>
          <w:sz w:val="28"/>
          <w:szCs w:val="28"/>
          <w:highlight w:val="none"/>
          <w:lang w:val="en-US" w:eastAsia="zh-CN"/>
        </w:rPr>
        <w:t>响应</w:t>
      </w:r>
      <w:r>
        <w:rPr>
          <w:rFonts w:hint="eastAsia" w:ascii="仿宋" w:hAnsi="仿宋" w:eastAsia="仿宋" w:cs="仿宋"/>
          <w:color w:val="auto"/>
          <w:spacing w:val="2"/>
          <w:sz w:val="28"/>
          <w:szCs w:val="28"/>
          <w:highlight w:val="none"/>
        </w:rPr>
        <w:t>文件所涉及的一切</w:t>
      </w:r>
      <w:r>
        <w:rPr>
          <w:rFonts w:hint="eastAsia" w:ascii="仿宋" w:hAnsi="仿宋" w:eastAsia="仿宋" w:cs="仿宋"/>
          <w:color w:val="auto"/>
          <w:spacing w:val="-8"/>
          <w:sz w:val="28"/>
          <w:szCs w:val="28"/>
          <w:highlight w:val="none"/>
        </w:rPr>
        <w:t>费用。</w:t>
      </w:r>
    </w:p>
    <w:p w14:paraId="06C2FA1E">
      <w:pPr>
        <w:pStyle w:val="8"/>
        <w:keepNext w:val="0"/>
        <w:keepLines w:val="0"/>
        <w:pageBreakBefore w:val="0"/>
        <w:widowControl w:val="0"/>
        <w:kinsoku/>
        <w:wordWrap/>
        <w:overflowPunct/>
        <w:topLinePunct w:val="0"/>
        <w:autoSpaceDE/>
        <w:autoSpaceDN/>
        <w:bidi w:val="0"/>
        <w:adjustRightInd w:val="0"/>
        <w:snapToGrid w:val="0"/>
        <w:spacing w:line="400" w:lineRule="exact"/>
        <w:ind w:left="467"/>
        <w:textAlignment w:val="auto"/>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3"/>
          <w:sz w:val="28"/>
          <w:szCs w:val="28"/>
          <w:highlight w:val="none"/>
        </w:rPr>
        <w:t>4.合格</w:t>
      </w:r>
      <w:r>
        <w:rPr>
          <w:rFonts w:hint="eastAsia" w:ascii="仿宋" w:hAnsi="仿宋" w:eastAsia="仿宋" w:cs="仿宋"/>
          <w:b/>
          <w:bCs/>
          <w:color w:val="auto"/>
          <w:spacing w:val="-3"/>
          <w:sz w:val="28"/>
          <w:szCs w:val="28"/>
          <w:highlight w:val="none"/>
          <w:lang w:eastAsia="zh-CN"/>
        </w:rPr>
        <w:t>供应商</w:t>
      </w:r>
    </w:p>
    <w:p w14:paraId="1AD3295A">
      <w:pPr>
        <w:pStyle w:val="8"/>
        <w:keepNext w:val="0"/>
        <w:keepLines w:val="0"/>
        <w:pageBreakBefore w:val="0"/>
        <w:widowControl w:val="0"/>
        <w:kinsoku/>
        <w:wordWrap/>
        <w:overflowPunct/>
        <w:topLinePunct w:val="0"/>
        <w:autoSpaceDE/>
        <w:autoSpaceDN/>
        <w:bidi w:val="0"/>
        <w:adjustRightInd w:val="0"/>
        <w:snapToGrid w:val="0"/>
        <w:spacing w:line="400" w:lineRule="exact"/>
        <w:ind w:left="47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4.1</w:t>
      </w:r>
      <w:r>
        <w:rPr>
          <w:rFonts w:hint="eastAsia" w:ascii="仿宋" w:hAnsi="仿宋" w:eastAsia="仿宋" w:cs="仿宋"/>
          <w:color w:val="auto"/>
          <w:spacing w:val="-44"/>
          <w:sz w:val="28"/>
          <w:szCs w:val="28"/>
          <w:highlight w:val="none"/>
        </w:rPr>
        <w:t xml:space="preserve"> </w:t>
      </w:r>
      <w:r>
        <w:rPr>
          <w:rFonts w:hint="eastAsia" w:ascii="仿宋" w:hAnsi="仿宋" w:eastAsia="仿宋" w:cs="仿宋"/>
          <w:color w:val="auto"/>
          <w:spacing w:val="-1"/>
          <w:sz w:val="28"/>
          <w:szCs w:val="28"/>
          <w:highlight w:val="none"/>
        </w:rPr>
        <w:t>合格的</w:t>
      </w:r>
      <w:r>
        <w:rPr>
          <w:rFonts w:hint="eastAsia" w:ascii="仿宋" w:hAnsi="仿宋" w:eastAsia="仿宋" w:cs="仿宋"/>
          <w:color w:val="auto"/>
          <w:spacing w:val="-1"/>
          <w:sz w:val="28"/>
          <w:szCs w:val="28"/>
          <w:highlight w:val="none"/>
          <w:lang w:val="en-US" w:eastAsia="zh-CN"/>
        </w:rPr>
        <w:t>供应商</w:t>
      </w:r>
      <w:r>
        <w:rPr>
          <w:rFonts w:hint="eastAsia" w:ascii="仿宋" w:hAnsi="仿宋" w:eastAsia="仿宋" w:cs="仿宋"/>
          <w:color w:val="auto"/>
          <w:spacing w:val="-1"/>
          <w:sz w:val="28"/>
          <w:szCs w:val="28"/>
          <w:highlight w:val="none"/>
        </w:rPr>
        <w:t>应符合</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文件载明的</w:t>
      </w:r>
      <w:r>
        <w:rPr>
          <w:rFonts w:hint="eastAsia" w:ascii="仿宋" w:hAnsi="仿宋" w:eastAsia="仿宋" w:cs="仿宋"/>
          <w:color w:val="auto"/>
          <w:spacing w:val="-1"/>
          <w:sz w:val="28"/>
          <w:szCs w:val="28"/>
          <w:highlight w:val="none"/>
          <w:lang w:val="en-US" w:eastAsia="zh-CN"/>
        </w:rPr>
        <w:t>参与</w:t>
      </w:r>
      <w:r>
        <w:rPr>
          <w:rFonts w:hint="eastAsia" w:ascii="仿宋" w:hAnsi="仿宋" w:eastAsia="仿宋" w:cs="仿宋"/>
          <w:color w:val="auto"/>
          <w:spacing w:val="-1"/>
          <w:sz w:val="28"/>
          <w:szCs w:val="28"/>
          <w:highlight w:val="none"/>
        </w:rPr>
        <w:t>资格。</w:t>
      </w:r>
    </w:p>
    <w:p w14:paraId="6378F6DE">
      <w:pPr>
        <w:pStyle w:val="8"/>
        <w:keepNext w:val="0"/>
        <w:keepLines w:val="0"/>
        <w:pageBreakBefore w:val="0"/>
        <w:widowControl w:val="0"/>
        <w:kinsoku/>
        <w:wordWrap/>
        <w:overflowPunct/>
        <w:topLinePunct w:val="0"/>
        <w:autoSpaceDE/>
        <w:autoSpaceDN/>
        <w:bidi w:val="0"/>
        <w:adjustRightInd w:val="0"/>
        <w:snapToGrid w:val="0"/>
        <w:spacing w:line="400" w:lineRule="exact"/>
        <w:ind w:left="23" w:right="2" w:firstLine="455"/>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4.2</w:t>
      </w:r>
      <w:r>
        <w:rPr>
          <w:rFonts w:hint="eastAsia" w:ascii="仿宋" w:hAnsi="仿宋" w:eastAsia="仿宋" w:cs="仿宋"/>
          <w:color w:val="auto"/>
          <w:spacing w:val="-36"/>
          <w:sz w:val="28"/>
          <w:szCs w:val="28"/>
          <w:highlight w:val="none"/>
        </w:rPr>
        <w:t xml:space="preserve"> </w:t>
      </w:r>
      <w:r>
        <w:rPr>
          <w:rFonts w:hint="eastAsia" w:ascii="仿宋" w:hAnsi="仿宋" w:eastAsia="仿宋" w:cs="仿宋"/>
          <w:color w:val="auto"/>
          <w:spacing w:val="2"/>
          <w:sz w:val="28"/>
          <w:szCs w:val="28"/>
          <w:highlight w:val="none"/>
        </w:rPr>
        <w:t>单位负责人为同一人或者存在直接控股、管理关系的不同</w:t>
      </w:r>
      <w:r>
        <w:rPr>
          <w:rFonts w:hint="eastAsia" w:ascii="仿宋" w:hAnsi="仿宋" w:eastAsia="仿宋" w:cs="仿宋"/>
          <w:color w:val="auto"/>
          <w:spacing w:val="2"/>
          <w:sz w:val="28"/>
          <w:szCs w:val="28"/>
          <w:highlight w:val="none"/>
          <w:lang w:val="en-US" w:eastAsia="zh-CN"/>
        </w:rPr>
        <w:t>各供应商</w:t>
      </w:r>
      <w:r>
        <w:rPr>
          <w:rFonts w:hint="eastAsia" w:ascii="仿宋" w:hAnsi="仿宋" w:eastAsia="仿宋" w:cs="仿宋"/>
          <w:color w:val="auto"/>
          <w:spacing w:val="2"/>
          <w:sz w:val="28"/>
          <w:szCs w:val="28"/>
          <w:highlight w:val="none"/>
        </w:rPr>
        <w:t>，不得参加</w:t>
      </w:r>
      <w:r>
        <w:rPr>
          <w:rFonts w:hint="eastAsia" w:ascii="仿宋" w:hAnsi="仿宋" w:eastAsia="仿宋" w:cs="仿宋"/>
          <w:color w:val="auto"/>
          <w:spacing w:val="-3"/>
          <w:sz w:val="28"/>
          <w:szCs w:val="28"/>
          <w:highlight w:val="none"/>
        </w:rPr>
        <w:t>同一合同项下的</w:t>
      </w:r>
      <w:r>
        <w:rPr>
          <w:rFonts w:hint="eastAsia" w:ascii="仿宋" w:hAnsi="仿宋" w:eastAsia="仿宋" w:cs="仿宋"/>
          <w:color w:val="auto"/>
          <w:spacing w:val="-3"/>
          <w:sz w:val="28"/>
          <w:szCs w:val="28"/>
          <w:highlight w:val="none"/>
          <w:lang w:val="en-US" w:eastAsia="zh-CN"/>
        </w:rPr>
        <w:t>遴选</w:t>
      </w:r>
      <w:r>
        <w:rPr>
          <w:rFonts w:hint="eastAsia" w:ascii="仿宋" w:hAnsi="仿宋" w:eastAsia="仿宋" w:cs="仿宋"/>
          <w:color w:val="auto"/>
          <w:spacing w:val="-3"/>
          <w:sz w:val="28"/>
          <w:szCs w:val="28"/>
          <w:highlight w:val="none"/>
        </w:rPr>
        <w:t>活动。</w:t>
      </w:r>
    </w:p>
    <w:p w14:paraId="790D76AD">
      <w:pPr>
        <w:pStyle w:val="8"/>
        <w:keepNext w:val="0"/>
        <w:keepLines w:val="0"/>
        <w:pageBreakBefore w:val="0"/>
        <w:widowControl w:val="0"/>
        <w:kinsoku/>
        <w:wordWrap/>
        <w:overflowPunct/>
        <w:topLinePunct w:val="0"/>
        <w:autoSpaceDE/>
        <w:autoSpaceDN/>
        <w:bidi w:val="0"/>
        <w:spacing w:line="400" w:lineRule="exact"/>
        <w:ind w:left="472"/>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5.勘察现场</w:t>
      </w:r>
    </w:p>
    <w:p w14:paraId="555DF661">
      <w:pPr>
        <w:pStyle w:val="8"/>
        <w:keepNext w:val="0"/>
        <w:keepLines w:val="0"/>
        <w:pageBreakBefore w:val="0"/>
        <w:widowControl w:val="0"/>
        <w:kinsoku/>
        <w:wordWrap/>
        <w:overflowPunct/>
        <w:topLinePunct w:val="0"/>
        <w:autoSpaceDE/>
        <w:autoSpaceDN/>
        <w:bidi w:val="0"/>
        <w:spacing w:line="400" w:lineRule="exact"/>
        <w:ind w:right="2" w:firstLine="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5.1</w:t>
      </w:r>
      <w:r>
        <w:rPr>
          <w:rFonts w:hint="eastAsia" w:ascii="仿宋" w:hAnsi="仿宋" w:eastAsia="仿宋" w:cs="仿宋"/>
          <w:color w:val="auto"/>
          <w:spacing w:val="-41"/>
          <w:sz w:val="28"/>
          <w:szCs w:val="28"/>
          <w:highlight w:val="none"/>
        </w:rPr>
        <w:t xml:space="preserve"> </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应自行对服务现场和周围环境进行勘察，以获取编制</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文件和签署</w:t>
      </w:r>
      <w:r>
        <w:rPr>
          <w:rFonts w:hint="eastAsia" w:ascii="仿宋" w:hAnsi="仿宋" w:eastAsia="仿宋" w:cs="仿宋"/>
          <w:color w:val="auto"/>
          <w:spacing w:val="-2"/>
          <w:sz w:val="28"/>
          <w:szCs w:val="28"/>
          <w:highlight w:val="none"/>
        </w:rPr>
        <w:t>合同所需的资料。</w:t>
      </w:r>
    </w:p>
    <w:p w14:paraId="667D9A5D">
      <w:pPr>
        <w:pStyle w:val="8"/>
        <w:keepNext w:val="0"/>
        <w:keepLines w:val="0"/>
        <w:pageBreakBefore w:val="0"/>
        <w:widowControl w:val="0"/>
        <w:kinsoku/>
        <w:wordWrap/>
        <w:overflowPunct/>
        <w:topLinePunct w:val="0"/>
        <w:autoSpaceDE/>
        <w:autoSpaceDN/>
        <w:bidi w:val="0"/>
        <w:spacing w:line="400" w:lineRule="exact"/>
        <w:ind w:firstLine="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5.2</w:t>
      </w:r>
      <w:r>
        <w:rPr>
          <w:rFonts w:hint="eastAsia" w:ascii="仿宋" w:hAnsi="仿宋" w:eastAsia="仿宋" w:cs="仿宋"/>
          <w:color w:val="auto"/>
          <w:spacing w:val="-41"/>
          <w:sz w:val="28"/>
          <w:szCs w:val="28"/>
          <w:highlight w:val="none"/>
        </w:rPr>
        <w:t xml:space="preserve"> </w:t>
      </w:r>
      <w:r>
        <w:rPr>
          <w:rFonts w:hint="eastAsia" w:ascii="仿宋" w:hAnsi="仿宋" w:eastAsia="仿宋" w:cs="仿宋"/>
          <w:color w:val="auto"/>
          <w:spacing w:val="2"/>
          <w:sz w:val="28"/>
          <w:szCs w:val="28"/>
          <w:highlight w:val="none"/>
        </w:rPr>
        <w:t>勘察现场所发生的费用由</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自行承担。</w:t>
      </w:r>
      <w:r>
        <w:rPr>
          <w:rFonts w:hint="eastAsia" w:ascii="仿宋" w:hAnsi="仿宋" w:eastAsia="仿宋" w:cs="仿宋"/>
          <w:color w:val="auto"/>
          <w:spacing w:val="2"/>
          <w:sz w:val="28"/>
          <w:szCs w:val="28"/>
          <w:highlight w:val="none"/>
          <w:lang w:eastAsia="zh-CN"/>
        </w:rPr>
        <w:t>院方</w:t>
      </w:r>
      <w:r>
        <w:rPr>
          <w:rFonts w:hint="eastAsia" w:ascii="仿宋" w:hAnsi="仿宋" w:eastAsia="仿宋" w:cs="仿宋"/>
          <w:color w:val="auto"/>
          <w:spacing w:val="2"/>
          <w:sz w:val="28"/>
          <w:szCs w:val="28"/>
          <w:highlight w:val="none"/>
        </w:rPr>
        <w:t>向</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提供的有关</w:t>
      </w:r>
      <w:r>
        <w:rPr>
          <w:rFonts w:hint="eastAsia" w:ascii="仿宋" w:hAnsi="仿宋" w:eastAsia="仿宋" w:cs="仿宋"/>
          <w:color w:val="auto"/>
          <w:spacing w:val="1"/>
          <w:sz w:val="28"/>
          <w:szCs w:val="28"/>
          <w:highlight w:val="none"/>
        </w:rPr>
        <w:t>服务现场的资料和数据，是</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现有的可供</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利用的资料。</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对</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由此而做出的推论、理解和结论概不负责。</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未到服务现场实地踏勘的，中标后签订合同时和履约过程中，不得以不完全了解现场情况为由，提出任何形式</w:t>
      </w:r>
      <w:r>
        <w:rPr>
          <w:rFonts w:hint="default" w:ascii="仿宋" w:hAnsi="仿宋" w:eastAsia="仿宋" w:cs="仿宋"/>
          <w:color w:val="auto"/>
          <w:spacing w:val="-1"/>
          <w:sz w:val="28"/>
          <w:szCs w:val="28"/>
          <w:highlight w:val="none"/>
          <w:lang w:val="en-US" w:eastAsia="zh-CN"/>
        </w:rPr>
        <w:t>额外的赔偿、补偿等要求</w:t>
      </w:r>
      <w:r>
        <w:rPr>
          <w:rFonts w:hint="eastAsia" w:ascii="仿宋" w:hAnsi="仿宋" w:eastAsia="仿宋" w:cs="仿宋"/>
          <w:color w:val="auto"/>
          <w:spacing w:val="-2"/>
          <w:sz w:val="28"/>
          <w:szCs w:val="28"/>
          <w:highlight w:val="none"/>
        </w:rPr>
        <w:t>。</w:t>
      </w:r>
    </w:p>
    <w:p w14:paraId="6B3DDE36">
      <w:pPr>
        <w:pStyle w:val="8"/>
        <w:keepNext w:val="0"/>
        <w:keepLines w:val="0"/>
        <w:pageBreakBefore w:val="0"/>
        <w:widowControl w:val="0"/>
        <w:kinsoku/>
        <w:wordWrap/>
        <w:overflowPunct/>
        <w:topLinePunct w:val="0"/>
        <w:autoSpaceDE/>
        <w:autoSpaceDN/>
        <w:bidi w:val="0"/>
        <w:spacing w:line="400" w:lineRule="exact"/>
        <w:ind w:left="470"/>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6.知识产权</w:t>
      </w:r>
    </w:p>
    <w:p w14:paraId="06ABA527">
      <w:pPr>
        <w:pStyle w:val="8"/>
        <w:keepNext w:val="0"/>
        <w:keepLines w:val="0"/>
        <w:pageBreakBefore w:val="0"/>
        <w:widowControl w:val="0"/>
        <w:kinsoku/>
        <w:wordWrap/>
        <w:overflowPunct/>
        <w:topLinePunct w:val="0"/>
        <w:autoSpaceDE/>
        <w:autoSpaceDN/>
        <w:bidi w:val="0"/>
        <w:spacing w:line="400" w:lineRule="exact"/>
        <w:ind w:firstLine="482"/>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6.1</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须保证，</w:t>
      </w:r>
      <w:r>
        <w:rPr>
          <w:rFonts w:hint="eastAsia" w:ascii="仿宋" w:hAnsi="仿宋" w:eastAsia="仿宋" w:cs="仿宋"/>
          <w:color w:val="auto"/>
          <w:spacing w:val="2"/>
          <w:sz w:val="28"/>
          <w:szCs w:val="28"/>
          <w:highlight w:val="none"/>
          <w:lang w:eastAsia="zh-CN"/>
        </w:rPr>
        <w:t>院方</w:t>
      </w:r>
      <w:r>
        <w:rPr>
          <w:rFonts w:hint="eastAsia" w:ascii="仿宋" w:hAnsi="仿宋" w:eastAsia="仿宋" w:cs="仿宋"/>
          <w:color w:val="auto"/>
          <w:spacing w:val="2"/>
          <w:sz w:val="28"/>
          <w:szCs w:val="28"/>
          <w:highlight w:val="none"/>
        </w:rPr>
        <w:t>在中华人民共和国境内使用货物、资料、技术、</w:t>
      </w:r>
      <w:r>
        <w:rPr>
          <w:rFonts w:hint="eastAsia" w:ascii="仿宋" w:hAnsi="仿宋" w:eastAsia="仿宋" w:cs="仿宋"/>
          <w:color w:val="auto"/>
          <w:spacing w:val="1"/>
          <w:sz w:val="28"/>
          <w:szCs w:val="28"/>
          <w:highlight w:val="none"/>
        </w:rPr>
        <w:t>服务或其任何一部分时，享有不受限制的无偿使用权，不会产生因第三方提出侵犯其专利权、商标权或其它知识产权而引起的法律或经济纠纷。如</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不拥有相应的知识产权，则在报价中必须包括合法获取该知识产权的一切相关费用。如因此导致</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损</w:t>
      </w:r>
      <w:r>
        <w:rPr>
          <w:rFonts w:hint="eastAsia" w:ascii="仿宋" w:hAnsi="仿宋" w:eastAsia="仿宋" w:cs="仿宋"/>
          <w:color w:val="auto"/>
          <w:spacing w:val="-1"/>
          <w:sz w:val="28"/>
          <w:szCs w:val="28"/>
          <w:highlight w:val="none"/>
        </w:rPr>
        <w:t>失的，</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须承担全部赔偿责任。</w:t>
      </w:r>
    </w:p>
    <w:p w14:paraId="3262FCB4">
      <w:pPr>
        <w:pStyle w:val="8"/>
        <w:keepNext w:val="0"/>
        <w:keepLines w:val="0"/>
        <w:pageBreakBefore w:val="0"/>
        <w:widowControl w:val="0"/>
        <w:kinsoku/>
        <w:wordWrap/>
        <w:overflowPunct/>
        <w:topLinePunct w:val="0"/>
        <w:autoSpaceDE/>
        <w:autoSpaceDN/>
        <w:bidi w:val="0"/>
        <w:spacing w:line="400" w:lineRule="exact"/>
        <w:ind w:left="1" w:right="2"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6.2</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如欲在项目实施过程中采用自有知识成果，须在</w:t>
      </w:r>
      <w:r>
        <w:rPr>
          <w:rFonts w:hint="eastAsia" w:ascii="仿宋" w:hAnsi="仿宋" w:eastAsia="仿宋" w:cs="仿宋"/>
          <w:color w:val="auto"/>
          <w:spacing w:val="2"/>
          <w:sz w:val="28"/>
          <w:szCs w:val="28"/>
          <w:highlight w:val="none"/>
          <w:lang w:val="en-US" w:eastAsia="zh-CN"/>
        </w:rPr>
        <w:t>响应</w:t>
      </w:r>
      <w:r>
        <w:rPr>
          <w:rFonts w:hint="eastAsia" w:ascii="仿宋" w:hAnsi="仿宋" w:eastAsia="仿宋" w:cs="仿宋"/>
          <w:color w:val="auto"/>
          <w:spacing w:val="2"/>
          <w:sz w:val="28"/>
          <w:szCs w:val="28"/>
          <w:highlight w:val="none"/>
        </w:rPr>
        <w:t>文件中声明，并</w:t>
      </w:r>
      <w:r>
        <w:rPr>
          <w:rFonts w:hint="eastAsia" w:ascii="仿宋" w:hAnsi="仿宋" w:eastAsia="仿宋" w:cs="仿宋"/>
          <w:color w:val="auto"/>
          <w:spacing w:val="1"/>
          <w:sz w:val="28"/>
          <w:szCs w:val="28"/>
          <w:highlight w:val="none"/>
        </w:rPr>
        <w:t>提供相关知识产权证明文件。使用该知识成果后，</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须提供开发接口和开发手册</w:t>
      </w:r>
      <w:r>
        <w:rPr>
          <w:rFonts w:hint="eastAsia" w:ascii="仿宋" w:hAnsi="仿宋" w:eastAsia="仿宋" w:cs="仿宋"/>
          <w:color w:val="auto"/>
          <w:spacing w:val="-2"/>
          <w:sz w:val="28"/>
          <w:szCs w:val="28"/>
          <w:highlight w:val="none"/>
        </w:rPr>
        <w:t>等技术文档。</w:t>
      </w:r>
    </w:p>
    <w:p w14:paraId="27676795">
      <w:pPr>
        <w:pStyle w:val="8"/>
        <w:keepNext w:val="0"/>
        <w:keepLines w:val="0"/>
        <w:pageBreakBefore w:val="0"/>
        <w:widowControl w:val="0"/>
        <w:kinsoku/>
        <w:wordWrap/>
        <w:overflowPunct/>
        <w:topLinePunct w:val="0"/>
        <w:autoSpaceDE/>
        <w:autoSpaceDN/>
        <w:bidi w:val="0"/>
        <w:spacing w:line="400" w:lineRule="exact"/>
        <w:ind w:left="474"/>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7.纪律与保密</w:t>
      </w:r>
    </w:p>
    <w:p w14:paraId="3076CD24">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7.1</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lang w:val="en-US" w:eastAsia="zh-CN"/>
        </w:rPr>
        <w:t>参与遴选的</w:t>
      </w:r>
      <w:r>
        <w:rPr>
          <w:rFonts w:hint="eastAsia" w:ascii="仿宋" w:hAnsi="仿宋" w:eastAsia="仿宋" w:cs="仿宋"/>
          <w:color w:val="auto"/>
          <w:spacing w:val="-1"/>
          <w:sz w:val="28"/>
          <w:szCs w:val="28"/>
          <w:highlight w:val="none"/>
        </w:rPr>
        <w:t>行为应遵守中国的有关法律、法规和规章。</w:t>
      </w:r>
    </w:p>
    <w:p w14:paraId="76C941E0">
      <w:pPr>
        <w:pStyle w:val="8"/>
        <w:keepNext w:val="0"/>
        <w:keepLines w:val="0"/>
        <w:pageBreakBefore w:val="0"/>
        <w:widowControl w:val="0"/>
        <w:kinsoku/>
        <w:wordWrap/>
        <w:overflowPunct/>
        <w:topLinePunct w:val="0"/>
        <w:autoSpaceDE/>
        <w:autoSpaceDN/>
        <w:bidi w:val="0"/>
        <w:spacing w:line="400" w:lineRule="exact"/>
        <w:ind w:right="2" w:firstLine="485"/>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7.2</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不得相互串通报价，不得妨碍其他</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的公平竞争，不得</w:t>
      </w:r>
      <w:r>
        <w:rPr>
          <w:rFonts w:hint="eastAsia" w:ascii="仿宋" w:hAnsi="仿宋" w:eastAsia="仿宋" w:cs="仿宋"/>
          <w:color w:val="auto"/>
          <w:spacing w:val="1"/>
          <w:sz w:val="28"/>
          <w:szCs w:val="28"/>
          <w:highlight w:val="none"/>
        </w:rPr>
        <w:t>损害</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或其他</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的合法权益，</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不得以向</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、评</w:t>
      </w:r>
      <w:r>
        <w:rPr>
          <w:rFonts w:hint="eastAsia" w:ascii="仿宋" w:hAnsi="仿宋" w:eastAsia="仿宋" w:cs="仿宋"/>
          <w:color w:val="auto"/>
          <w:spacing w:val="1"/>
          <w:sz w:val="28"/>
          <w:szCs w:val="28"/>
          <w:highlight w:val="none"/>
          <w:lang w:val="en-US" w:eastAsia="zh-CN"/>
        </w:rPr>
        <w:t>审</w:t>
      </w:r>
      <w:r>
        <w:rPr>
          <w:rFonts w:hint="eastAsia" w:ascii="仿宋" w:hAnsi="仿宋" w:eastAsia="仿宋" w:cs="仿宋"/>
          <w:color w:val="auto"/>
          <w:spacing w:val="1"/>
          <w:sz w:val="28"/>
          <w:szCs w:val="28"/>
          <w:highlight w:val="none"/>
        </w:rPr>
        <w:t>委员会成员</w:t>
      </w:r>
      <w:r>
        <w:rPr>
          <w:rFonts w:hint="eastAsia" w:ascii="仿宋" w:hAnsi="仿宋" w:eastAsia="仿宋" w:cs="仿宋"/>
          <w:color w:val="auto"/>
          <w:spacing w:val="-1"/>
          <w:sz w:val="28"/>
          <w:szCs w:val="28"/>
          <w:highlight w:val="none"/>
        </w:rPr>
        <w:t>行贿或者其他不正当手段谋取中标。</w:t>
      </w:r>
    </w:p>
    <w:p w14:paraId="6300987A">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有下列情形之一的，视为</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串通，其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无效：</w:t>
      </w:r>
    </w:p>
    <w:p w14:paraId="004FF16E">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7.2.1不同</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文件由同一单位或者个人编制；</w:t>
      </w:r>
    </w:p>
    <w:p w14:paraId="5FDDF04F">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7.2.2不同</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委托同一单位或者个人办理</w:t>
      </w:r>
      <w:r>
        <w:rPr>
          <w:rFonts w:hint="eastAsia" w:ascii="仿宋" w:hAnsi="仿宋" w:eastAsia="仿宋" w:cs="仿宋"/>
          <w:color w:val="auto"/>
          <w:spacing w:val="-1"/>
          <w:sz w:val="28"/>
          <w:szCs w:val="28"/>
          <w:highlight w:val="none"/>
          <w:lang w:val="en-US" w:eastAsia="zh-CN"/>
        </w:rPr>
        <w:t>遴选</w:t>
      </w:r>
      <w:r>
        <w:rPr>
          <w:rFonts w:hint="eastAsia" w:ascii="仿宋" w:hAnsi="仿宋" w:eastAsia="仿宋" w:cs="仿宋"/>
          <w:color w:val="auto"/>
          <w:spacing w:val="-1"/>
          <w:sz w:val="28"/>
          <w:szCs w:val="28"/>
          <w:highlight w:val="none"/>
        </w:rPr>
        <w:t>事宜；</w:t>
      </w:r>
    </w:p>
    <w:p w14:paraId="293022EA">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7.2.3不同</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文件载明的项目管理成员或者联系人员为同一人；</w:t>
      </w:r>
    </w:p>
    <w:p w14:paraId="68C84F67">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7.2.4不同</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文件异常一致或者</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报价呈规律性差异；</w:t>
      </w:r>
    </w:p>
    <w:p w14:paraId="3506897C">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7.2.5不同</w:t>
      </w:r>
      <w:r>
        <w:rPr>
          <w:rFonts w:hint="eastAsia" w:ascii="仿宋" w:hAnsi="仿宋" w:eastAsia="仿宋" w:cs="仿宋"/>
          <w:color w:val="auto"/>
          <w:spacing w:val="-2"/>
          <w:sz w:val="28"/>
          <w:szCs w:val="28"/>
          <w:highlight w:val="none"/>
          <w:lang w:eastAsia="zh-CN"/>
        </w:rPr>
        <w:t>供应商</w:t>
      </w:r>
      <w:r>
        <w:rPr>
          <w:rFonts w:hint="eastAsia" w:ascii="仿宋" w:hAnsi="仿宋" w:eastAsia="仿宋" w:cs="仿宋"/>
          <w:color w:val="auto"/>
          <w:spacing w:val="-2"/>
          <w:sz w:val="28"/>
          <w:szCs w:val="28"/>
          <w:highlight w:val="none"/>
        </w:rPr>
        <w:t>的</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文件相互混装；</w:t>
      </w:r>
    </w:p>
    <w:p w14:paraId="07B121BA">
      <w:pPr>
        <w:pStyle w:val="8"/>
        <w:keepNext w:val="0"/>
        <w:keepLines w:val="0"/>
        <w:pageBreakBefore w:val="0"/>
        <w:widowControl w:val="0"/>
        <w:kinsoku/>
        <w:wordWrap/>
        <w:overflowPunct/>
        <w:topLinePunct w:val="0"/>
        <w:autoSpaceDE/>
        <w:autoSpaceDN/>
        <w:bidi w:val="0"/>
        <w:spacing w:line="400" w:lineRule="exact"/>
        <w:ind w:left="3" w:right="2" w:firstLine="482"/>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7.3在确定</w:t>
      </w:r>
      <w:r>
        <w:rPr>
          <w:rFonts w:hint="eastAsia" w:ascii="仿宋" w:hAnsi="仿宋" w:eastAsia="仿宋" w:cs="仿宋"/>
          <w:color w:val="auto"/>
          <w:spacing w:val="2"/>
          <w:sz w:val="28"/>
          <w:szCs w:val="28"/>
          <w:highlight w:val="none"/>
          <w:lang w:eastAsia="zh-CN"/>
        </w:rPr>
        <w:t>中标供应商</w:t>
      </w:r>
      <w:r>
        <w:rPr>
          <w:rFonts w:hint="eastAsia" w:ascii="仿宋" w:hAnsi="仿宋" w:eastAsia="仿宋" w:cs="仿宋"/>
          <w:color w:val="auto"/>
          <w:spacing w:val="2"/>
          <w:sz w:val="28"/>
          <w:szCs w:val="28"/>
          <w:highlight w:val="none"/>
        </w:rPr>
        <w:t>之前，</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不得与</w:t>
      </w:r>
      <w:r>
        <w:rPr>
          <w:rFonts w:hint="eastAsia" w:ascii="仿宋" w:hAnsi="仿宋" w:eastAsia="仿宋" w:cs="仿宋"/>
          <w:color w:val="auto"/>
          <w:spacing w:val="2"/>
          <w:sz w:val="28"/>
          <w:szCs w:val="28"/>
          <w:highlight w:val="none"/>
          <w:lang w:eastAsia="zh-CN"/>
        </w:rPr>
        <w:t>院方</w:t>
      </w:r>
      <w:r>
        <w:rPr>
          <w:rFonts w:hint="eastAsia" w:ascii="仿宋" w:hAnsi="仿宋" w:eastAsia="仿宋" w:cs="仿宋"/>
          <w:color w:val="auto"/>
          <w:spacing w:val="2"/>
          <w:sz w:val="28"/>
          <w:szCs w:val="28"/>
          <w:highlight w:val="none"/>
        </w:rPr>
        <w:t>就价格、方案等实质性内</w:t>
      </w:r>
      <w:r>
        <w:rPr>
          <w:rFonts w:hint="eastAsia" w:ascii="仿宋" w:hAnsi="仿宋" w:eastAsia="仿宋" w:cs="仿宋"/>
          <w:color w:val="auto"/>
          <w:spacing w:val="-1"/>
          <w:sz w:val="28"/>
          <w:szCs w:val="28"/>
          <w:highlight w:val="none"/>
        </w:rPr>
        <w:t>容进行谈判，也不得私下接触评标委员会成员。</w:t>
      </w:r>
    </w:p>
    <w:p w14:paraId="7D1EF314">
      <w:pPr>
        <w:pStyle w:val="8"/>
        <w:keepNext w:val="0"/>
        <w:keepLines w:val="0"/>
        <w:pageBreakBefore w:val="0"/>
        <w:widowControl w:val="0"/>
        <w:kinsoku/>
        <w:wordWrap/>
        <w:overflowPunct/>
        <w:topLinePunct w:val="0"/>
        <w:autoSpaceDE/>
        <w:autoSpaceDN/>
        <w:bidi w:val="0"/>
        <w:spacing w:line="400" w:lineRule="exact"/>
        <w:ind w:left="1" w:firstLine="484"/>
        <w:textAlignment w:val="auto"/>
        <w:rPr>
          <w:rFonts w:hint="eastAsia" w:ascii="仿宋" w:hAnsi="仿宋" w:eastAsia="仿宋" w:cs="仿宋"/>
          <w:color w:val="auto"/>
          <w:spacing w:val="-1"/>
          <w:sz w:val="28"/>
          <w:szCs w:val="28"/>
          <w:highlight w:val="none"/>
        </w:rPr>
      </w:pPr>
      <w:r>
        <w:rPr>
          <w:rFonts w:hint="eastAsia" w:ascii="仿宋" w:hAnsi="仿宋" w:eastAsia="仿宋" w:cs="仿宋"/>
          <w:color w:val="auto"/>
          <w:spacing w:val="2"/>
          <w:sz w:val="28"/>
          <w:szCs w:val="28"/>
          <w:highlight w:val="none"/>
        </w:rPr>
        <w:t>7.4在确定</w:t>
      </w:r>
      <w:r>
        <w:rPr>
          <w:rFonts w:hint="eastAsia" w:ascii="仿宋" w:hAnsi="仿宋" w:eastAsia="仿宋" w:cs="仿宋"/>
          <w:color w:val="auto"/>
          <w:spacing w:val="2"/>
          <w:sz w:val="28"/>
          <w:szCs w:val="28"/>
          <w:highlight w:val="none"/>
          <w:lang w:eastAsia="zh-CN"/>
        </w:rPr>
        <w:t>中标供应商</w:t>
      </w:r>
      <w:r>
        <w:rPr>
          <w:rFonts w:hint="eastAsia" w:ascii="仿宋" w:hAnsi="仿宋" w:eastAsia="仿宋" w:cs="仿宋"/>
          <w:color w:val="auto"/>
          <w:spacing w:val="2"/>
          <w:sz w:val="28"/>
          <w:szCs w:val="28"/>
          <w:highlight w:val="none"/>
        </w:rPr>
        <w:t>之前，</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试图在</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文件审查、澄清、比较和评价时对评</w:t>
      </w:r>
      <w:r>
        <w:rPr>
          <w:rFonts w:hint="eastAsia" w:ascii="仿宋" w:hAnsi="仿宋" w:eastAsia="仿宋" w:cs="仿宋"/>
          <w:color w:val="auto"/>
          <w:sz w:val="28"/>
          <w:szCs w:val="28"/>
          <w:highlight w:val="none"/>
        </w:rPr>
        <w:t>标委员会、</w:t>
      </w:r>
      <w:r>
        <w:rPr>
          <w:rFonts w:hint="eastAsia" w:ascii="仿宋" w:hAnsi="仿宋" w:eastAsia="仿宋" w:cs="仿宋"/>
          <w:color w:val="auto"/>
          <w:sz w:val="28"/>
          <w:szCs w:val="28"/>
          <w:highlight w:val="none"/>
          <w:lang w:eastAsia="zh-CN"/>
        </w:rPr>
        <w:t>院方</w:t>
      </w:r>
      <w:r>
        <w:rPr>
          <w:rFonts w:hint="eastAsia" w:ascii="仿宋" w:hAnsi="仿宋" w:eastAsia="仿宋" w:cs="仿宋"/>
          <w:color w:val="auto"/>
          <w:sz w:val="28"/>
          <w:szCs w:val="28"/>
          <w:highlight w:val="none"/>
        </w:rPr>
        <w:t>和</w:t>
      </w:r>
      <w:r>
        <w:rPr>
          <w:rFonts w:hint="eastAsia" w:ascii="仿宋" w:hAnsi="仿宋" w:eastAsia="仿宋" w:cs="仿宋"/>
          <w:color w:val="auto"/>
          <w:sz w:val="28"/>
          <w:szCs w:val="28"/>
          <w:highlight w:val="none"/>
          <w:lang w:eastAsia="zh-CN"/>
        </w:rPr>
        <w:t>代理机构</w:t>
      </w:r>
      <w:r>
        <w:rPr>
          <w:rFonts w:hint="eastAsia" w:ascii="仿宋" w:hAnsi="仿宋" w:eastAsia="仿宋" w:cs="仿宋"/>
          <w:color w:val="auto"/>
          <w:sz w:val="28"/>
          <w:szCs w:val="28"/>
          <w:highlight w:val="none"/>
        </w:rPr>
        <w:t>施加任何影</w:t>
      </w:r>
      <w:r>
        <w:rPr>
          <w:rFonts w:hint="eastAsia" w:ascii="仿宋" w:hAnsi="仿宋" w:eastAsia="仿宋" w:cs="仿宋"/>
          <w:color w:val="auto"/>
          <w:spacing w:val="-1"/>
          <w:sz w:val="28"/>
          <w:szCs w:val="28"/>
          <w:highlight w:val="none"/>
        </w:rPr>
        <w:t>响都可能导致其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无效。</w:t>
      </w:r>
    </w:p>
    <w:p w14:paraId="0089B292">
      <w:pPr>
        <w:pStyle w:val="8"/>
        <w:keepNext w:val="0"/>
        <w:keepLines w:val="0"/>
        <w:pageBreakBefore w:val="0"/>
        <w:widowControl w:val="0"/>
        <w:kinsoku/>
        <w:wordWrap/>
        <w:overflowPunct/>
        <w:topLinePunct w:val="0"/>
        <w:autoSpaceDE/>
        <w:autoSpaceDN/>
        <w:bidi w:val="0"/>
        <w:spacing w:line="400" w:lineRule="exact"/>
        <w:ind w:left="468"/>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pacing w:val="-2"/>
          <w:sz w:val="28"/>
          <w:szCs w:val="28"/>
          <w:highlight w:val="none"/>
        </w:rPr>
        <w:t>8.联合体</w:t>
      </w:r>
      <w:r>
        <w:rPr>
          <w:rFonts w:hint="eastAsia" w:ascii="仿宋" w:hAnsi="仿宋" w:eastAsia="仿宋" w:cs="仿宋"/>
          <w:b/>
          <w:bCs/>
          <w:color w:val="auto"/>
          <w:spacing w:val="-2"/>
          <w:sz w:val="28"/>
          <w:szCs w:val="28"/>
          <w:highlight w:val="none"/>
          <w:lang w:eastAsia="zh-CN"/>
        </w:rPr>
        <w:t>响应</w:t>
      </w:r>
    </w:p>
    <w:p w14:paraId="430A7D63">
      <w:pPr>
        <w:pStyle w:val="8"/>
        <w:keepNext w:val="0"/>
        <w:keepLines w:val="0"/>
        <w:pageBreakBefore w:val="0"/>
        <w:widowControl w:val="0"/>
        <w:kinsoku/>
        <w:wordWrap/>
        <w:overflowPunct/>
        <w:topLinePunct w:val="0"/>
        <w:autoSpaceDE/>
        <w:autoSpaceDN/>
        <w:bidi w:val="0"/>
        <w:spacing w:line="400" w:lineRule="exact"/>
        <w:ind w:left="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本项目不接受联合体。</w:t>
      </w:r>
    </w:p>
    <w:p w14:paraId="484A83A9">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01CA0CB4">
      <w:pPr>
        <w:pStyle w:val="8"/>
        <w:keepNext w:val="0"/>
        <w:keepLines w:val="0"/>
        <w:pageBreakBefore w:val="0"/>
        <w:widowControl w:val="0"/>
        <w:kinsoku/>
        <w:wordWrap/>
        <w:overflowPunct/>
        <w:topLinePunct w:val="0"/>
        <w:autoSpaceDE/>
        <w:autoSpaceDN/>
        <w:bidi w:val="0"/>
        <w:spacing w:line="400" w:lineRule="exact"/>
        <w:ind w:left="3985"/>
        <w:textAlignment w:val="auto"/>
        <w:outlineLvl w:val="0"/>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二、</w:t>
      </w:r>
      <w:r>
        <w:rPr>
          <w:rFonts w:hint="eastAsia" w:ascii="仿宋" w:hAnsi="仿宋" w:eastAsia="仿宋" w:cs="仿宋"/>
          <w:b/>
          <w:bCs/>
          <w:color w:val="auto"/>
          <w:spacing w:val="-4"/>
          <w:sz w:val="28"/>
          <w:szCs w:val="28"/>
          <w:highlight w:val="none"/>
          <w:lang w:eastAsia="zh-CN"/>
        </w:rPr>
        <w:t>遴选</w:t>
      </w:r>
      <w:r>
        <w:rPr>
          <w:rFonts w:hint="eastAsia" w:ascii="仿宋" w:hAnsi="仿宋" w:eastAsia="仿宋" w:cs="仿宋"/>
          <w:b/>
          <w:bCs/>
          <w:color w:val="auto"/>
          <w:spacing w:val="-4"/>
          <w:sz w:val="28"/>
          <w:szCs w:val="28"/>
          <w:highlight w:val="none"/>
        </w:rPr>
        <w:t>文件</w:t>
      </w:r>
    </w:p>
    <w:p w14:paraId="5D0CAC3B">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1C1E5743">
      <w:pPr>
        <w:pStyle w:val="8"/>
        <w:keepNext w:val="0"/>
        <w:keepLines w:val="0"/>
        <w:pageBreakBefore w:val="0"/>
        <w:widowControl w:val="0"/>
        <w:kinsoku/>
        <w:wordWrap/>
        <w:overflowPunct/>
        <w:topLinePunct w:val="0"/>
        <w:autoSpaceDE/>
        <w:autoSpaceDN/>
        <w:bidi w:val="0"/>
        <w:spacing w:line="400" w:lineRule="exact"/>
        <w:ind w:left="485"/>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lang w:eastAsia="zh-CN"/>
        </w:rPr>
        <w:t>9</w:t>
      </w:r>
      <w:r>
        <w:rPr>
          <w:rFonts w:hint="eastAsia" w:ascii="仿宋" w:hAnsi="仿宋" w:eastAsia="仿宋" w:cs="仿宋"/>
          <w:b/>
          <w:bCs/>
          <w:color w:val="auto"/>
          <w:spacing w:val="-5"/>
          <w:sz w:val="28"/>
          <w:szCs w:val="28"/>
          <w:highlight w:val="none"/>
        </w:rPr>
        <w:t>.</w:t>
      </w:r>
      <w:r>
        <w:rPr>
          <w:rFonts w:hint="eastAsia" w:ascii="仿宋" w:hAnsi="仿宋" w:eastAsia="仿宋" w:cs="仿宋"/>
          <w:b/>
          <w:bCs/>
          <w:color w:val="auto"/>
          <w:spacing w:val="-5"/>
          <w:sz w:val="28"/>
          <w:szCs w:val="28"/>
          <w:highlight w:val="none"/>
          <w:lang w:eastAsia="zh-CN"/>
        </w:rPr>
        <w:t>遴选</w:t>
      </w:r>
      <w:r>
        <w:rPr>
          <w:rFonts w:hint="eastAsia" w:ascii="仿宋" w:hAnsi="仿宋" w:eastAsia="仿宋" w:cs="仿宋"/>
          <w:b/>
          <w:bCs/>
          <w:color w:val="auto"/>
          <w:spacing w:val="-5"/>
          <w:sz w:val="28"/>
          <w:szCs w:val="28"/>
          <w:highlight w:val="none"/>
        </w:rPr>
        <w:t>文件构成</w:t>
      </w:r>
    </w:p>
    <w:p w14:paraId="38D9E4C7">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w:t>
      </w:r>
      <w:r>
        <w:rPr>
          <w:rFonts w:hint="eastAsia" w:ascii="仿宋" w:hAnsi="仿宋" w:eastAsia="仿宋" w:cs="仿宋"/>
          <w:color w:val="auto"/>
          <w:spacing w:val="-3"/>
          <w:sz w:val="28"/>
          <w:szCs w:val="28"/>
          <w:highlight w:val="none"/>
          <w:lang w:eastAsia="zh-CN"/>
        </w:rPr>
        <w:t>遴选</w:t>
      </w:r>
      <w:r>
        <w:rPr>
          <w:rFonts w:hint="eastAsia" w:ascii="仿宋" w:hAnsi="仿宋" w:eastAsia="仿宋" w:cs="仿宋"/>
          <w:color w:val="auto"/>
          <w:spacing w:val="-3"/>
          <w:sz w:val="28"/>
          <w:szCs w:val="28"/>
          <w:highlight w:val="none"/>
        </w:rPr>
        <w:t>文件包括以下部分：</w:t>
      </w:r>
    </w:p>
    <w:p w14:paraId="313E07C0">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.1.1第一章：</w:t>
      </w:r>
      <w:r>
        <w:rPr>
          <w:rFonts w:hint="eastAsia" w:ascii="仿宋" w:hAnsi="仿宋" w:eastAsia="仿宋" w:cs="仿宋"/>
          <w:color w:val="auto"/>
          <w:spacing w:val="-3"/>
          <w:sz w:val="28"/>
          <w:szCs w:val="28"/>
          <w:highlight w:val="none"/>
          <w:lang w:eastAsia="zh-CN"/>
        </w:rPr>
        <w:t>遴选</w:t>
      </w:r>
      <w:r>
        <w:rPr>
          <w:rFonts w:hint="eastAsia" w:ascii="仿宋" w:hAnsi="仿宋" w:eastAsia="仿宋" w:cs="仿宋"/>
          <w:color w:val="auto"/>
          <w:spacing w:val="-3"/>
          <w:sz w:val="28"/>
          <w:szCs w:val="28"/>
          <w:highlight w:val="none"/>
        </w:rPr>
        <w:t>公告；</w:t>
      </w:r>
    </w:p>
    <w:p w14:paraId="1FE40BAC">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9</w:t>
      </w:r>
      <w:r>
        <w:rPr>
          <w:rFonts w:hint="eastAsia" w:ascii="仿宋" w:hAnsi="仿宋" w:eastAsia="仿宋" w:cs="仿宋"/>
          <w:color w:val="auto"/>
          <w:spacing w:val="-2"/>
          <w:sz w:val="28"/>
          <w:szCs w:val="28"/>
          <w:highlight w:val="none"/>
        </w:rPr>
        <w:t>.1.2第二章：前附表；</w:t>
      </w:r>
    </w:p>
    <w:p w14:paraId="5373262F">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.1.3第三章：</w:t>
      </w:r>
      <w:r>
        <w:rPr>
          <w:rFonts w:hint="eastAsia" w:ascii="仿宋" w:hAnsi="仿宋" w:eastAsia="仿宋" w:cs="仿宋"/>
          <w:color w:val="auto"/>
          <w:spacing w:val="-3"/>
          <w:sz w:val="28"/>
          <w:szCs w:val="28"/>
          <w:highlight w:val="none"/>
          <w:lang w:val="en-US" w:eastAsia="zh-CN"/>
        </w:rPr>
        <w:t>参与遴选各供应商</w:t>
      </w:r>
      <w:r>
        <w:rPr>
          <w:rFonts w:hint="eastAsia" w:ascii="仿宋" w:hAnsi="仿宋" w:eastAsia="仿宋" w:cs="仿宋"/>
          <w:color w:val="auto"/>
          <w:spacing w:val="-3"/>
          <w:sz w:val="28"/>
          <w:szCs w:val="28"/>
          <w:highlight w:val="none"/>
        </w:rPr>
        <w:t>须知；</w:t>
      </w:r>
    </w:p>
    <w:p w14:paraId="317318DC">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.1.4第四章：评标办法；</w:t>
      </w:r>
    </w:p>
    <w:p w14:paraId="41BB9ADB">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.1.5第五章：</w:t>
      </w:r>
      <w:r>
        <w:rPr>
          <w:rFonts w:hint="eastAsia" w:ascii="仿宋" w:hAnsi="仿宋" w:eastAsia="仿宋" w:cs="仿宋"/>
          <w:color w:val="auto"/>
          <w:spacing w:val="-3"/>
          <w:sz w:val="28"/>
          <w:szCs w:val="28"/>
          <w:highlight w:val="none"/>
          <w:lang w:eastAsia="zh-CN"/>
        </w:rPr>
        <w:t>遴选</w:t>
      </w:r>
      <w:r>
        <w:rPr>
          <w:rFonts w:hint="eastAsia" w:ascii="仿宋" w:hAnsi="仿宋" w:eastAsia="仿宋" w:cs="仿宋"/>
          <w:color w:val="auto"/>
          <w:spacing w:val="-3"/>
          <w:sz w:val="28"/>
          <w:szCs w:val="28"/>
          <w:highlight w:val="none"/>
        </w:rPr>
        <w:t>需求；</w:t>
      </w:r>
    </w:p>
    <w:p w14:paraId="203553FC">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.1.6第六章：</w:t>
      </w:r>
      <w:r>
        <w:rPr>
          <w:rFonts w:hint="eastAsia" w:ascii="仿宋" w:hAnsi="仿宋" w:eastAsia="仿宋" w:cs="仿宋"/>
          <w:color w:val="auto"/>
          <w:spacing w:val="-3"/>
          <w:sz w:val="28"/>
          <w:szCs w:val="28"/>
          <w:highlight w:val="none"/>
          <w:lang w:eastAsia="zh-CN"/>
        </w:rPr>
        <w:t>遴选</w:t>
      </w:r>
      <w:r>
        <w:rPr>
          <w:rFonts w:hint="eastAsia" w:ascii="仿宋" w:hAnsi="仿宋" w:eastAsia="仿宋" w:cs="仿宋"/>
          <w:color w:val="auto"/>
          <w:spacing w:val="-3"/>
          <w:sz w:val="28"/>
          <w:szCs w:val="28"/>
          <w:highlight w:val="none"/>
        </w:rPr>
        <w:t>合同；</w:t>
      </w:r>
    </w:p>
    <w:p w14:paraId="34F42F93">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9</w:t>
      </w:r>
      <w:r>
        <w:rPr>
          <w:rFonts w:hint="eastAsia" w:ascii="仿宋" w:hAnsi="仿宋" w:eastAsia="仿宋" w:cs="仿宋"/>
          <w:color w:val="auto"/>
          <w:spacing w:val="-3"/>
          <w:sz w:val="28"/>
          <w:szCs w:val="28"/>
          <w:highlight w:val="none"/>
        </w:rPr>
        <w:t>.1.7第七章：</w:t>
      </w:r>
      <w:r>
        <w:rPr>
          <w:rFonts w:hint="eastAsia" w:ascii="仿宋" w:hAnsi="仿宋" w:eastAsia="仿宋" w:cs="仿宋"/>
          <w:color w:val="auto"/>
          <w:spacing w:val="-3"/>
          <w:sz w:val="28"/>
          <w:szCs w:val="28"/>
          <w:highlight w:val="none"/>
          <w:lang w:eastAsia="zh-CN"/>
        </w:rPr>
        <w:t>响应</w:t>
      </w:r>
      <w:r>
        <w:rPr>
          <w:rFonts w:hint="eastAsia" w:ascii="仿宋" w:hAnsi="仿宋" w:eastAsia="仿宋" w:cs="仿宋"/>
          <w:color w:val="auto"/>
          <w:spacing w:val="-3"/>
          <w:sz w:val="28"/>
          <w:szCs w:val="28"/>
          <w:highlight w:val="none"/>
        </w:rPr>
        <w:t>文件格式；</w:t>
      </w:r>
    </w:p>
    <w:p w14:paraId="2C0D134A">
      <w:pPr>
        <w:pStyle w:val="8"/>
        <w:keepNext w:val="0"/>
        <w:keepLines w:val="0"/>
        <w:pageBreakBefore w:val="0"/>
        <w:widowControl w:val="0"/>
        <w:kinsoku/>
        <w:wordWrap/>
        <w:overflowPunct/>
        <w:topLinePunct w:val="0"/>
        <w:autoSpaceDE/>
        <w:autoSpaceDN/>
        <w:bidi w:val="0"/>
        <w:spacing w:line="400" w:lineRule="exact"/>
        <w:ind w:left="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9</w:t>
      </w:r>
      <w:r>
        <w:rPr>
          <w:rFonts w:hint="eastAsia" w:ascii="仿宋" w:hAnsi="仿宋" w:eastAsia="仿宋" w:cs="仿宋"/>
          <w:color w:val="auto"/>
          <w:spacing w:val="-2"/>
          <w:sz w:val="28"/>
          <w:szCs w:val="28"/>
          <w:highlight w:val="none"/>
        </w:rPr>
        <w:t>.2</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5"/>
          <w:sz w:val="28"/>
          <w:szCs w:val="28"/>
          <w:highlight w:val="none"/>
        </w:rPr>
        <w:t>应认真阅读</w:t>
      </w:r>
      <w:r>
        <w:rPr>
          <w:rFonts w:hint="eastAsia" w:ascii="仿宋" w:hAnsi="仿宋" w:eastAsia="仿宋" w:cs="仿宋"/>
          <w:color w:val="auto"/>
          <w:spacing w:val="-5"/>
          <w:sz w:val="28"/>
          <w:szCs w:val="28"/>
          <w:highlight w:val="none"/>
          <w:lang w:eastAsia="zh-CN"/>
        </w:rPr>
        <w:t>遴选</w:t>
      </w:r>
      <w:r>
        <w:rPr>
          <w:rFonts w:hint="eastAsia" w:ascii="仿宋" w:hAnsi="仿宋" w:eastAsia="仿宋" w:cs="仿宋"/>
          <w:color w:val="auto"/>
          <w:spacing w:val="-5"/>
          <w:sz w:val="28"/>
          <w:szCs w:val="28"/>
          <w:highlight w:val="none"/>
        </w:rPr>
        <w:t>文件中所有的事项、格式、条件、条</w:t>
      </w:r>
      <w:r>
        <w:rPr>
          <w:rFonts w:hint="eastAsia" w:ascii="仿宋" w:hAnsi="仿宋" w:eastAsia="仿宋" w:cs="仿宋"/>
          <w:color w:val="auto"/>
          <w:spacing w:val="-6"/>
          <w:sz w:val="28"/>
          <w:szCs w:val="28"/>
          <w:highlight w:val="none"/>
        </w:rPr>
        <w:t>款和规范等要求。</w:t>
      </w:r>
    </w:p>
    <w:p w14:paraId="77E34823">
      <w:pPr>
        <w:pStyle w:val="8"/>
        <w:keepNext w:val="0"/>
        <w:keepLines w:val="0"/>
        <w:pageBreakBefore w:val="0"/>
        <w:widowControl w:val="0"/>
        <w:kinsoku/>
        <w:wordWrap/>
        <w:overflowPunct/>
        <w:topLinePunct w:val="0"/>
        <w:autoSpaceDE/>
        <w:autoSpaceDN/>
        <w:bidi w:val="0"/>
        <w:spacing w:line="400" w:lineRule="exact"/>
        <w:ind w:left="19" w:right="80" w:firstLine="47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9</w:t>
      </w:r>
      <w:r>
        <w:rPr>
          <w:rFonts w:hint="eastAsia" w:ascii="仿宋" w:hAnsi="仿宋" w:eastAsia="仿宋" w:cs="仿宋"/>
          <w:color w:val="auto"/>
          <w:spacing w:val="-1"/>
          <w:sz w:val="28"/>
          <w:szCs w:val="28"/>
          <w:highlight w:val="none"/>
        </w:rPr>
        <w:t>.3</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应当按照</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文件的要求编制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w:t>
      </w:r>
      <w:r>
        <w:rPr>
          <w:rFonts w:hint="eastAsia" w:ascii="仿宋" w:hAnsi="仿宋" w:eastAsia="仿宋" w:cs="仿宋"/>
          <w:color w:val="auto"/>
          <w:spacing w:val="-2"/>
          <w:sz w:val="28"/>
          <w:szCs w:val="28"/>
          <w:highlight w:val="none"/>
        </w:rPr>
        <w:t>件应对</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文件提出</w:t>
      </w:r>
      <w:r>
        <w:rPr>
          <w:rFonts w:hint="eastAsia" w:ascii="仿宋" w:hAnsi="仿宋" w:eastAsia="仿宋" w:cs="仿宋"/>
          <w:color w:val="auto"/>
          <w:spacing w:val="-3"/>
          <w:sz w:val="28"/>
          <w:szCs w:val="28"/>
          <w:highlight w:val="none"/>
        </w:rPr>
        <w:t>的要求和条件作出实质性响应。</w:t>
      </w:r>
    </w:p>
    <w:p w14:paraId="4DE1833F">
      <w:pPr>
        <w:pStyle w:val="8"/>
        <w:keepNext w:val="0"/>
        <w:keepLines w:val="0"/>
        <w:pageBreakBefore w:val="0"/>
        <w:widowControl w:val="0"/>
        <w:kinsoku/>
        <w:wordWrap/>
        <w:overflowPunct/>
        <w:topLinePunct w:val="0"/>
        <w:autoSpaceDE/>
        <w:autoSpaceDN/>
        <w:bidi w:val="0"/>
        <w:spacing w:line="400" w:lineRule="exact"/>
        <w:ind w:left="485"/>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10</w:t>
      </w:r>
      <w:r>
        <w:rPr>
          <w:rFonts w:hint="eastAsia" w:ascii="仿宋" w:hAnsi="仿宋" w:eastAsia="仿宋" w:cs="仿宋"/>
          <w:b/>
          <w:bCs/>
          <w:color w:val="auto"/>
          <w:spacing w:val="-4"/>
          <w:sz w:val="28"/>
          <w:szCs w:val="28"/>
          <w:highlight w:val="none"/>
        </w:rPr>
        <w:t>.答疑及</w:t>
      </w:r>
      <w:r>
        <w:rPr>
          <w:rFonts w:hint="eastAsia" w:ascii="仿宋" w:hAnsi="仿宋" w:eastAsia="仿宋" w:cs="仿宋"/>
          <w:b/>
          <w:bCs/>
          <w:color w:val="auto"/>
          <w:spacing w:val="-4"/>
          <w:sz w:val="28"/>
          <w:szCs w:val="28"/>
          <w:highlight w:val="none"/>
          <w:lang w:eastAsia="zh-CN"/>
        </w:rPr>
        <w:t>遴选</w:t>
      </w:r>
      <w:r>
        <w:rPr>
          <w:rFonts w:hint="eastAsia" w:ascii="仿宋" w:hAnsi="仿宋" w:eastAsia="仿宋" w:cs="仿宋"/>
          <w:b/>
          <w:bCs/>
          <w:color w:val="auto"/>
          <w:spacing w:val="-4"/>
          <w:sz w:val="28"/>
          <w:szCs w:val="28"/>
          <w:highlight w:val="none"/>
        </w:rPr>
        <w:t>文件的澄清与修改</w:t>
      </w:r>
    </w:p>
    <w:p w14:paraId="3B72460D">
      <w:pPr>
        <w:pStyle w:val="8"/>
        <w:keepNext w:val="0"/>
        <w:keepLines w:val="0"/>
        <w:pageBreakBefore w:val="0"/>
        <w:widowControl w:val="0"/>
        <w:kinsoku/>
        <w:wordWrap/>
        <w:overflowPunct/>
        <w:topLinePunct w:val="0"/>
        <w:autoSpaceDE/>
        <w:autoSpaceDN/>
        <w:bidi w:val="0"/>
        <w:spacing w:line="400" w:lineRule="exact"/>
        <w:ind w:left="2" w:right="80" w:firstLine="49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10</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如果对</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文件内容有相关疑问，可以以书面形</w:t>
      </w:r>
      <w:r>
        <w:rPr>
          <w:rFonts w:hint="eastAsia" w:ascii="仿宋" w:hAnsi="仿宋" w:eastAsia="仿宋" w:cs="仿宋"/>
          <w:color w:val="auto"/>
          <w:spacing w:val="-2"/>
          <w:sz w:val="28"/>
          <w:szCs w:val="28"/>
          <w:highlight w:val="none"/>
        </w:rPr>
        <w:t>式向</w:t>
      </w:r>
      <w:r>
        <w:rPr>
          <w:rFonts w:hint="eastAsia" w:ascii="仿宋" w:hAnsi="仿宋" w:eastAsia="仿宋" w:cs="仿宋"/>
          <w:color w:val="auto"/>
          <w:spacing w:val="-2"/>
          <w:sz w:val="28"/>
          <w:szCs w:val="28"/>
          <w:highlight w:val="none"/>
          <w:lang w:val="en-US" w:eastAsia="zh-CN"/>
        </w:rPr>
        <w:t>院方</w:t>
      </w:r>
      <w:r>
        <w:rPr>
          <w:rFonts w:hint="eastAsia" w:ascii="仿宋" w:hAnsi="仿宋" w:eastAsia="仿宋" w:cs="仿宋"/>
          <w:color w:val="auto"/>
          <w:spacing w:val="-1"/>
          <w:sz w:val="28"/>
          <w:szCs w:val="28"/>
          <w:highlight w:val="none"/>
        </w:rPr>
        <w:t>提出。</w:t>
      </w:r>
    </w:p>
    <w:p w14:paraId="0F793E87">
      <w:pPr>
        <w:pStyle w:val="8"/>
        <w:keepNext w:val="0"/>
        <w:keepLines w:val="0"/>
        <w:pageBreakBefore w:val="0"/>
        <w:widowControl w:val="0"/>
        <w:kinsoku/>
        <w:wordWrap/>
        <w:overflowPunct/>
        <w:topLinePunct w:val="0"/>
        <w:autoSpaceDE/>
        <w:autoSpaceDN/>
        <w:bidi w:val="0"/>
        <w:spacing w:line="400" w:lineRule="exact"/>
        <w:ind w:left="1" w:right="80" w:firstLine="495"/>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10</w:t>
      </w: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对</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文件进行的答疑、澄清、变更或补充</w:t>
      </w:r>
      <w:r>
        <w:rPr>
          <w:rFonts w:hint="eastAsia" w:ascii="仿宋" w:hAnsi="仿宋" w:eastAsia="仿宋" w:cs="仿宋"/>
          <w:color w:val="auto"/>
          <w:spacing w:val="-2"/>
          <w:sz w:val="28"/>
          <w:szCs w:val="28"/>
          <w:highlight w:val="none"/>
        </w:rPr>
        <w:t>，将</w:t>
      </w:r>
      <w:r>
        <w:rPr>
          <w:rFonts w:hint="eastAsia" w:ascii="仿宋" w:hAnsi="仿宋" w:eastAsia="仿宋" w:cs="仿宋"/>
          <w:color w:val="auto"/>
          <w:spacing w:val="1"/>
          <w:sz w:val="28"/>
          <w:szCs w:val="28"/>
          <w:highlight w:val="none"/>
        </w:rPr>
        <w:t>及时</w:t>
      </w:r>
      <w:r>
        <w:rPr>
          <w:rFonts w:hint="eastAsia" w:ascii="仿宋" w:hAnsi="仿宋" w:eastAsia="仿宋" w:cs="仿宋"/>
          <w:color w:val="auto"/>
          <w:spacing w:val="1"/>
          <w:sz w:val="28"/>
          <w:szCs w:val="28"/>
          <w:highlight w:val="none"/>
          <w:lang w:val="en-US" w:eastAsia="zh-CN"/>
        </w:rPr>
        <w:t>发放给所有供应商</w:t>
      </w:r>
      <w:r>
        <w:rPr>
          <w:rFonts w:hint="eastAsia" w:ascii="仿宋" w:hAnsi="仿宋" w:eastAsia="仿宋" w:cs="仿宋"/>
          <w:color w:val="auto"/>
          <w:spacing w:val="1"/>
          <w:sz w:val="28"/>
          <w:szCs w:val="28"/>
          <w:highlight w:val="none"/>
        </w:rPr>
        <w:t>，该内容为</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文件的组成部分，对</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具有同样约束力。当</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文件的答疑、澄清、变更或补充等在同一内容的表述上不一致时，以最后发出的书面文件为准。</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应主动</w:t>
      </w:r>
      <w:r>
        <w:rPr>
          <w:rFonts w:hint="eastAsia" w:ascii="仿宋" w:hAnsi="仿宋" w:eastAsia="仿宋" w:cs="仿宋"/>
          <w:color w:val="auto"/>
          <w:spacing w:val="1"/>
          <w:sz w:val="28"/>
          <w:szCs w:val="28"/>
          <w:highlight w:val="none"/>
          <w:lang w:val="en-US" w:eastAsia="zh-CN"/>
        </w:rPr>
        <w:t>关注收取遴选文件的邮箱</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z w:val="28"/>
          <w:szCs w:val="28"/>
          <w:highlight w:val="none"/>
        </w:rPr>
        <w:t>不承担</w:t>
      </w:r>
      <w:r>
        <w:rPr>
          <w:rFonts w:hint="eastAsia" w:ascii="仿宋" w:hAnsi="仿宋" w:eastAsia="仿宋" w:cs="仿宋"/>
          <w:color w:val="auto"/>
          <w:sz w:val="28"/>
          <w:szCs w:val="28"/>
          <w:highlight w:val="none"/>
          <w:lang w:eastAsia="zh-CN"/>
        </w:rPr>
        <w:t>各供应商</w:t>
      </w:r>
      <w:r>
        <w:rPr>
          <w:rFonts w:hint="eastAsia" w:ascii="仿宋" w:hAnsi="仿宋" w:eastAsia="仿宋" w:cs="仿宋"/>
          <w:color w:val="auto"/>
          <w:spacing w:val="-1"/>
          <w:sz w:val="28"/>
          <w:szCs w:val="28"/>
          <w:highlight w:val="none"/>
        </w:rPr>
        <w:t>未及时关注相关信息引发的相关责任。</w:t>
      </w:r>
    </w:p>
    <w:p w14:paraId="5A12F858">
      <w:pPr>
        <w:pStyle w:val="8"/>
        <w:keepNext w:val="0"/>
        <w:keepLines w:val="0"/>
        <w:pageBreakBefore w:val="0"/>
        <w:widowControl w:val="0"/>
        <w:kinsoku/>
        <w:wordWrap/>
        <w:overflowPunct/>
        <w:topLinePunct w:val="0"/>
        <w:autoSpaceDE/>
        <w:autoSpaceDN/>
        <w:bidi w:val="0"/>
        <w:spacing w:line="400" w:lineRule="exact"/>
        <w:ind w:left="3623"/>
        <w:textAlignment w:val="auto"/>
        <w:outlineLvl w:val="0"/>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三、</w:t>
      </w:r>
      <w:r>
        <w:rPr>
          <w:rFonts w:hint="eastAsia" w:ascii="仿宋" w:hAnsi="仿宋" w:eastAsia="仿宋" w:cs="仿宋"/>
          <w:b/>
          <w:bCs/>
          <w:color w:val="auto"/>
          <w:spacing w:val="-3"/>
          <w:sz w:val="28"/>
          <w:szCs w:val="28"/>
          <w:highlight w:val="none"/>
          <w:lang w:eastAsia="zh-CN"/>
        </w:rPr>
        <w:t>响应</w:t>
      </w:r>
      <w:r>
        <w:rPr>
          <w:rFonts w:hint="eastAsia" w:ascii="仿宋" w:hAnsi="仿宋" w:eastAsia="仿宋" w:cs="仿宋"/>
          <w:b/>
          <w:bCs/>
          <w:color w:val="auto"/>
          <w:spacing w:val="-3"/>
          <w:sz w:val="28"/>
          <w:szCs w:val="28"/>
          <w:highlight w:val="none"/>
        </w:rPr>
        <w:t>文件的编制</w:t>
      </w:r>
    </w:p>
    <w:p w14:paraId="432C7876">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4B644C63">
      <w:pPr>
        <w:pStyle w:val="8"/>
        <w:keepNext w:val="0"/>
        <w:keepLines w:val="0"/>
        <w:pageBreakBefore w:val="0"/>
        <w:widowControl w:val="0"/>
        <w:kinsoku/>
        <w:wordWrap/>
        <w:overflowPunct/>
        <w:topLinePunct w:val="0"/>
        <w:autoSpaceDE/>
        <w:autoSpaceDN/>
        <w:bidi w:val="0"/>
        <w:spacing w:line="400" w:lineRule="exact"/>
        <w:ind w:left="487"/>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11</w:t>
      </w:r>
      <w:r>
        <w:rPr>
          <w:rFonts w:hint="eastAsia" w:ascii="仿宋" w:hAnsi="仿宋" w:eastAsia="仿宋" w:cs="仿宋"/>
          <w:b/>
          <w:bCs/>
          <w:color w:val="auto"/>
          <w:spacing w:val="-4"/>
          <w:sz w:val="28"/>
          <w:szCs w:val="28"/>
          <w:highlight w:val="none"/>
        </w:rPr>
        <w:t>.</w:t>
      </w:r>
      <w:r>
        <w:rPr>
          <w:rFonts w:hint="eastAsia" w:ascii="仿宋" w:hAnsi="仿宋" w:eastAsia="仿宋" w:cs="仿宋"/>
          <w:b/>
          <w:bCs/>
          <w:color w:val="auto"/>
          <w:spacing w:val="-4"/>
          <w:sz w:val="28"/>
          <w:szCs w:val="28"/>
          <w:highlight w:val="none"/>
          <w:lang w:eastAsia="zh-CN"/>
        </w:rPr>
        <w:t>响应</w:t>
      </w:r>
      <w:r>
        <w:rPr>
          <w:rFonts w:hint="eastAsia" w:ascii="仿宋" w:hAnsi="仿宋" w:eastAsia="仿宋" w:cs="仿宋"/>
          <w:b/>
          <w:bCs/>
          <w:color w:val="auto"/>
          <w:spacing w:val="-4"/>
          <w:sz w:val="28"/>
          <w:szCs w:val="28"/>
          <w:highlight w:val="none"/>
        </w:rPr>
        <w:t>文件构成与要求</w:t>
      </w:r>
    </w:p>
    <w:p w14:paraId="0DA3848B">
      <w:pPr>
        <w:pStyle w:val="8"/>
        <w:keepNext w:val="0"/>
        <w:keepLines w:val="0"/>
        <w:pageBreakBefore w:val="0"/>
        <w:widowControl w:val="0"/>
        <w:kinsoku/>
        <w:wordWrap/>
        <w:overflowPunct/>
        <w:topLinePunct w:val="0"/>
        <w:autoSpaceDE/>
        <w:autoSpaceDN/>
        <w:bidi w:val="0"/>
        <w:spacing w:line="400" w:lineRule="exact"/>
        <w:ind w:left="2" w:right="80" w:firstLine="496"/>
        <w:textAlignment w:val="auto"/>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2"/>
          <w:sz w:val="28"/>
          <w:szCs w:val="28"/>
          <w:highlight w:val="none"/>
          <w:lang w:eastAsia="zh-CN"/>
        </w:rPr>
        <w:t>1</w:t>
      </w:r>
      <w:r>
        <w:rPr>
          <w:rFonts w:hint="eastAsia" w:ascii="仿宋" w:hAnsi="仿宋" w:eastAsia="仿宋" w:cs="仿宋"/>
          <w:color w:val="auto"/>
          <w:spacing w:val="-1"/>
          <w:sz w:val="28"/>
          <w:szCs w:val="28"/>
          <w:highlight w:val="none"/>
          <w:lang w:eastAsia="zh-CN"/>
        </w:rPr>
        <w:t>1.1响应文件是对遴选文件的实质性响应及承诺文件。</w:t>
      </w:r>
    </w:p>
    <w:p w14:paraId="25E1114A">
      <w:pPr>
        <w:pStyle w:val="8"/>
        <w:keepNext w:val="0"/>
        <w:keepLines w:val="0"/>
        <w:pageBreakBefore w:val="0"/>
        <w:widowControl w:val="0"/>
        <w:kinsoku/>
        <w:wordWrap/>
        <w:overflowPunct/>
        <w:topLinePunct w:val="0"/>
        <w:autoSpaceDE/>
        <w:autoSpaceDN/>
        <w:bidi w:val="0"/>
        <w:spacing w:line="400" w:lineRule="exact"/>
        <w:ind w:left="2" w:right="80" w:firstLine="496"/>
        <w:textAlignment w:val="auto"/>
        <w:rPr>
          <w:rFonts w:hint="eastAsia" w:ascii="仿宋" w:hAnsi="仿宋" w:eastAsia="仿宋" w:cs="仿宋"/>
          <w:color w:val="auto"/>
          <w:spacing w:val="-1"/>
          <w:sz w:val="28"/>
          <w:szCs w:val="28"/>
          <w:highlight w:val="none"/>
          <w:lang w:eastAsia="zh-CN"/>
        </w:rPr>
      </w:pPr>
      <w:r>
        <w:rPr>
          <w:rFonts w:hint="eastAsia" w:ascii="仿宋" w:hAnsi="仿宋" w:eastAsia="仿宋" w:cs="仿宋"/>
          <w:color w:val="auto"/>
          <w:spacing w:val="-1"/>
          <w:sz w:val="28"/>
          <w:szCs w:val="28"/>
          <w:highlight w:val="none"/>
          <w:lang w:eastAsia="zh-CN"/>
        </w:rPr>
        <w:t>11.2除非注明“</w:t>
      </w:r>
      <w:r>
        <w:rPr>
          <w:rFonts w:hint="eastAsia" w:ascii="仿宋" w:hAnsi="仿宋" w:eastAsia="仿宋" w:cs="仿宋"/>
          <w:color w:val="auto"/>
          <w:spacing w:val="-1"/>
          <w:sz w:val="28"/>
          <w:szCs w:val="28"/>
          <w:highlight w:val="none"/>
          <w:lang w:val="en-US" w:eastAsia="zh-CN"/>
        </w:rPr>
        <w:t>格式自拟</w:t>
      </w:r>
      <w:r>
        <w:rPr>
          <w:rFonts w:hint="eastAsia" w:ascii="仿宋" w:hAnsi="仿宋" w:eastAsia="仿宋" w:cs="仿宋"/>
          <w:color w:val="auto"/>
          <w:spacing w:val="-1"/>
          <w:sz w:val="28"/>
          <w:szCs w:val="28"/>
          <w:highlight w:val="none"/>
          <w:lang w:eastAsia="zh-CN"/>
        </w:rPr>
        <w:t>”，响应文件应使用遴选文件提供的格式。</w:t>
      </w:r>
    </w:p>
    <w:p w14:paraId="5C0CA698">
      <w:pPr>
        <w:pStyle w:val="8"/>
        <w:keepNext w:val="0"/>
        <w:keepLines w:val="0"/>
        <w:pageBreakBefore w:val="0"/>
        <w:widowControl w:val="0"/>
        <w:kinsoku/>
        <w:wordWrap/>
        <w:overflowPunct/>
        <w:topLinePunct w:val="0"/>
        <w:autoSpaceDE/>
        <w:autoSpaceDN/>
        <w:bidi w:val="0"/>
        <w:spacing w:line="400" w:lineRule="exact"/>
        <w:ind w:left="2" w:right="80" w:firstLine="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11</w:t>
      </w:r>
      <w:r>
        <w:rPr>
          <w:rFonts w:hint="eastAsia" w:ascii="仿宋" w:hAnsi="仿宋" w:eastAsia="仿宋" w:cs="仿宋"/>
          <w:color w:val="auto"/>
          <w:spacing w:val="-1"/>
          <w:sz w:val="28"/>
          <w:szCs w:val="28"/>
          <w:highlight w:val="none"/>
        </w:rPr>
        <w:t>.3除专用术语外，</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文件以及</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2"/>
          <w:sz w:val="28"/>
          <w:szCs w:val="28"/>
          <w:highlight w:val="none"/>
        </w:rPr>
        <w:t>与</w:t>
      </w:r>
      <w:r>
        <w:rPr>
          <w:rFonts w:hint="eastAsia" w:ascii="仿宋" w:hAnsi="仿宋" w:eastAsia="仿宋" w:cs="仿宋"/>
          <w:color w:val="auto"/>
          <w:spacing w:val="-2"/>
          <w:sz w:val="28"/>
          <w:szCs w:val="28"/>
          <w:highlight w:val="none"/>
          <w:lang w:eastAsia="zh-CN"/>
        </w:rPr>
        <w:t>院方</w:t>
      </w:r>
      <w:r>
        <w:rPr>
          <w:rFonts w:hint="eastAsia" w:ascii="仿宋" w:hAnsi="仿宋" w:eastAsia="仿宋" w:cs="仿宋"/>
          <w:color w:val="auto"/>
          <w:spacing w:val="-2"/>
          <w:sz w:val="28"/>
          <w:szCs w:val="28"/>
          <w:highlight w:val="none"/>
        </w:rPr>
        <w:t>就有关</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的往来函电均应使</w:t>
      </w:r>
      <w:r>
        <w:rPr>
          <w:rFonts w:hint="eastAsia" w:ascii="仿宋" w:hAnsi="仿宋" w:eastAsia="仿宋" w:cs="仿宋"/>
          <w:color w:val="auto"/>
          <w:spacing w:val="1"/>
          <w:sz w:val="28"/>
          <w:szCs w:val="28"/>
          <w:highlight w:val="none"/>
        </w:rPr>
        <w:t>用中文。</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提交的支持性文件和印制的文件可以用另一种语言，但相应内容应翻</w:t>
      </w:r>
      <w:r>
        <w:rPr>
          <w:rFonts w:hint="eastAsia" w:ascii="仿宋" w:hAnsi="仿宋" w:eastAsia="仿宋" w:cs="仿宋"/>
          <w:color w:val="auto"/>
          <w:sz w:val="28"/>
          <w:szCs w:val="28"/>
          <w:highlight w:val="none"/>
        </w:rPr>
        <w:t>译成中文，对不同文字文本</w:t>
      </w:r>
      <w:r>
        <w:rPr>
          <w:rFonts w:hint="eastAsia" w:ascii="仿宋" w:hAnsi="仿宋" w:eastAsia="仿宋" w:cs="仿宋"/>
          <w:color w:val="auto"/>
          <w:sz w:val="28"/>
          <w:szCs w:val="28"/>
          <w:highlight w:val="none"/>
          <w:lang w:eastAsia="zh-CN"/>
        </w:rPr>
        <w:t>响应</w:t>
      </w:r>
      <w:r>
        <w:rPr>
          <w:rFonts w:hint="eastAsia" w:ascii="仿宋" w:hAnsi="仿宋" w:eastAsia="仿宋" w:cs="仿宋"/>
          <w:color w:val="auto"/>
          <w:sz w:val="28"/>
          <w:szCs w:val="28"/>
          <w:highlight w:val="none"/>
        </w:rPr>
        <w:t>文件的解释发生</w:t>
      </w:r>
      <w:r>
        <w:rPr>
          <w:rFonts w:hint="eastAsia" w:ascii="仿宋" w:hAnsi="仿宋" w:eastAsia="仿宋" w:cs="仿宋"/>
          <w:color w:val="auto"/>
          <w:spacing w:val="-1"/>
          <w:sz w:val="28"/>
          <w:szCs w:val="28"/>
          <w:highlight w:val="none"/>
        </w:rPr>
        <w:t>异议的，以中文文本为准。</w:t>
      </w:r>
    </w:p>
    <w:p w14:paraId="6B4DD198">
      <w:pPr>
        <w:pStyle w:val="8"/>
        <w:keepNext w:val="0"/>
        <w:keepLines w:val="0"/>
        <w:pageBreakBefore w:val="0"/>
        <w:widowControl w:val="0"/>
        <w:kinsoku/>
        <w:wordWrap/>
        <w:overflowPunct/>
        <w:topLinePunct w:val="0"/>
        <w:autoSpaceDE/>
        <w:autoSpaceDN/>
        <w:bidi w:val="0"/>
        <w:spacing w:line="400" w:lineRule="exact"/>
        <w:ind w:left="49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11</w:t>
      </w:r>
      <w:r>
        <w:rPr>
          <w:rFonts w:hint="eastAsia" w:ascii="仿宋" w:hAnsi="仿宋" w:eastAsia="仿宋" w:cs="仿宋"/>
          <w:color w:val="auto"/>
          <w:spacing w:val="-1"/>
          <w:sz w:val="28"/>
          <w:szCs w:val="28"/>
          <w:highlight w:val="none"/>
        </w:rPr>
        <w:t>.4除非</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文件另有规定，</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文件应</w:t>
      </w:r>
      <w:r>
        <w:rPr>
          <w:rFonts w:hint="eastAsia" w:ascii="仿宋" w:hAnsi="仿宋" w:eastAsia="仿宋" w:cs="仿宋"/>
          <w:color w:val="auto"/>
          <w:spacing w:val="-2"/>
          <w:sz w:val="28"/>
          <w:szCs w:val="28"/>
          <w:highlight w:val="none"/>
        </w:rPr>
        <w:t>使用中华人民共和国法定计量单位。</w:t>
      </w:r>
    </w:p>
    <w:p w14:paraId="11F2F1A3">
      <w:pPr>
        <w:pStyle w:val="8"/>
        <w:keepNext w:val="0"/>
        <w:keepLines w:val="0"/>
        <w:pageBreakBefore w:val="0"/>
        <w:widowControl w:val="0"/>
        <w:kinsoku/>
        <w:wordWrap/>
        <w:overflowPunct/>
        <w:topLinePunct w:val="0"/>
        <w:autoSpaceDE/>
        <w:autoSpaceDN/>
        <w:bidi w:val="0"/>
        <w:spacing w:line="400" w:lineRule="exact"/>
        <w:ind w:right="80" w:firstLine="49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11</w:t>
      </w:r>
      <w:r>
        <w:rPr>
          <w:rFonts w:hint="eastAsia" w:ascii="仿宋" w:hAnsi="仿宋" w:eastAsia="仿宋" w:cs="仿宋"/>
          <w:color w:val="auto"/>
          <w:spacing w:val="-1"/>
          <w:sz w:val="28"/>
          <w:szCs w:val="28"/>
          <w:highlight w:val="none"/>
        </w:rPr>
        <w:t>.5除非</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文件另有规定，</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pacing w:val="-2"/>
          <w:sz w:val="28"/>
          <w:szCs w:val="28"/>
          <w:highlight w:val="none"/>
        </w:rPr>
        <w:t>应使用人民币填报所有报价。允许以多种货币</w:t>
      </w:r>
      <w:r>
        <w:rPr>
          <w:rFonts w:hint="eastAsia" w:ascii="仿宋" w:hAnsi="仿宋" w:eastAsia="仿宋" w:cs="仿宋"/>
          <w:color w:val="auto"/>
          <w:spacing w:val="1"/>
          <w:sz w:val="28"/>
          <w:szCs w:val="28"/>
          <w:highlight w:val="none"/>
        </w:rPr>
        <w:t>报价的，或涉及合同金额等计算的，均按照中国人民</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在开标日公布的汇率中间价换算</w:t>
      </w:r>
      <w:r>
        <w:rPr>
          <w:rFonts w:hint="eastAsia" w:ascii="仿宋" w:hAnsi="仿宋" w:eastAsia="仿宋" w:cs="仿宋"/>
          <w:color w:val="auto"/>
          <w:spacing w:val="-2"/>
          <w:sz w:val="28"/>
          <w:szCs w:val="28"/>
          <w:highlight w:val="none"/>
        </w:rPr>
        <w:t>成人民币。公司注册资本为外币，须折算成人民币的，按照公司成立日期当日(以营业执照</w:t>
      </w:r>
      <w:r>
        <w:rPr>
          <w:rFonts w:hint="eastAsia" w:ascii="仿宋" w:hAnsi="仿宋" w:eastAsia="仿宋" w:cs="仿宋"/>
          <w:color w:val="auto"/>
          <w:spacing w:val="1"/>
          <w:sz w:val="28"/>
          <w:szCs w:val="28"/>
          <w:highlight w:val="none"/>
        </w:rPr>
        <w:t>注明的成立日期为准）中国人民</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公布的汇率的中间价计算（</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应提供成立日</w:t>
      </w:r>
      <w:r>
        <w:rPr>
          <w:rFonts w:hint="eastAsia" w:ascii="仿宋" w:hAnsi="仿宋" w:eastAsia="仿宋" w:cs="仿宋"/>
          <w:color w:val="auto"/>
          <w:spacing w:val="-1"/>
          <w:sz w:val="28"/>
          <w:szCs w:val="28"/>
          <w:highlight w:val="none"/>
        </w:rPr>
        <w:t>期当日中国人民</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公布的汇率的中间价作为参考）。</w:t>
      </w:r>
    </w:p>
    <w:p w14:paraId="59DE37F4">
      <w:pPr>
        <w:pStyle w:val="8"/>
        <w:keepNext w:val="0"/>
        <w:keepLines w:val="0"/>
        <w:pageBreakBefore w:val="0"/>
        <w:widowControl w:val="0"/>
        <w:kinsoku/>
        <w:wordWrap/>
        <w:overflowPunct/>
        <w:topLinePunct w:val="0"/>
        <w:autoSpaceDE/>
        <w:autoSpaceDN/>
        <w:bidi w:val="0"/>
        <w:spacing w:line="400" w:lineRule="exact"/>
        <w:ind w:left="2" w:right="80" w:firstLine="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11</w:t>
      </w:r>
      <w:r>
        <w:rPr>
          <w:rFonts w:hint="eastAsia" w:ascii="仿宋" w:hAnsi="仿宋" w:eastAsia="仿宋" w:cs="仿宋"/>
          <w:color w:val="auto"/>
          <w:spacing w:val="-1"/>
          <w:sz w:val="28"/>
          <w:szCs w:val="28"/>
          <w:highlight w:val="none"/>
        </w:rPr>
        <w:t>.6</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资质证书（或资格证明）处于年检、换证、升级</w:t>
      </w:r>
      <w:r>
        <w:rPr>
          <w:rFonts w:hint="eastAsia" w:ascii="仿宋" w:hAnsi="仿宋" w:eastAsia="仿宋" w:cs="仿宋"/>
          <w:color w:val="auto"/>
          <w:spacing w:val="-2"/>
          <w:sz w:val="28"/>
          <w:szCs w:val="28"/>
          <w:highlight w:val="none"/>
        </w:rPr>
        <w:t>、变更等期间，除非有法律法规或发证机构书面材料明确表明</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资质（或资格)有效，否则一律不予认</w:t>
      </w:r>
      <w:r>
        <w:rPr>
          <w:rFonts w:hint="eastAsia" w:ascii="仿宋" w:hAnsi="仿宋" w:eastAsia="仿宋" w:cs="仿宋"/>
          <w:color w:val="auto"/>
          <w:spacing w:val="-6"/>
          <w:sz w:val="28"/>
          <w:szCs w:val="28"/>
          <w:highlight w:val="none"/>
        </w:rPr>
        <w:t>可。</w:t>
      </w:r>
    </w:p>
    <w:p w14:paraId="5D88BE7B">
      <w:pPr>
        <w:pStyle w:val="8"/>
        <w:keepNext w:val="0"/>
        <w:keepLines w:val="0"/>
        <w:pageBreakBefore w:val="0"/>
        <w:widowControl w:val="0"/>
        <w:kinsoku/>
        <w:wordWrap/>
        <w:overflowPunct/>
        <w:topLinePunct w:val="0"/>
        <w:autoSpaceDE/>
        <w:autoSpaceDN/>
        <w:bidi w:val="0"/>
        <w:spacing w:line="400" w:lineRule="exact"/>
        <w:ind w:left="49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11</w:t>
      </w:r>
      <w:r>
        <w:rPr>
          <w:rFonts w:hint="eastAsia" w:ascii="仿宋" w:hAnsi="仿宋" w:eastAsia="仿宋" w:cs="仿宋"/>
          <w:color w:val="auto"/>
          <w:spacing w:val="-2"/>
          <w:sz w:val="28"/>
          <w:szCs w:val="28"/>
          <w:highlight w:val="none"/>
        </w:rPr>
        <w:t>.</w:t>
      </w:r>
      <w:r>
        <w:rPr>
          <w:rFonts w:hint="eastAsia" w:ascii="仿宋" w:hAnsi="仿宋" w:eastAsia="仿宋" w:cs="仿宋"/>
          <w:color w:val="auto"/>
          <w:spacing w:val="-2"/>
          <w:sz w:val="28"/>
          <w:szCs w:val="28"/>
          <w:highlight w:val="none"/>
          <w:lang w:val="en-US" w:eastAsia="zh-CN"/>
        </w:rPr>
        <w:t>7</w:t>
      </w:r>
      <w:r>
        <w:rPr>
          <w:rFonts w:hint="eastAsia" w:ascii="仿宋" w:hAnsi="仿宋" w:eastAsia="仿宋" w:cs="仿宋"/>
          <w:color w:val="auto"/>
          <w:spacing w:val="-2"/>
          <w:sz w:val="28"/>
          <w:szCs w:val="28"/>
          <w:highlight w:val="none"/>
        </w:rPr>
        <w:t>除非</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文件另有规定，</w:t>
      </w:r>
      <w:r>
        <w:rPr>
          <w:rFonts w:hint="eastAsia" w:ascii="仿宋" w:hAnsi="仿宋" w:eastAsia="仿宋" w:cs="仿宋"/>
          <w:color w:val="auto"/>
          <w:spacing w:val="-2"/>
          <w:sz w:val="28"/>
          <w:szCs w:val="28"/>
          <w:highlight w:val="none"/>
          <w:lang w:eastAsia="zh-CN"/>
        </w:rPr>
        <w:t>院方</w:t>
      </w:r>
      <w:r>
        <w:rPr>
          <w:rFonts w:hint="eastAsia" w:ascii="仿宋" w:hAnsi="仿宋" w:eastAsia="仿宋" w:cs="仿宋"/>
          <w:color w:val="auto"/>
          <w:spacing w:val="-2"/>
          <w:sz w:val="28"/>
          <w:szCs w:val="28"/>
          <w:highlight w:val="none"/>
        </w:rPr>
        <w:t>一律不予退还</w:t>
      </w:r>
      <w:r>
        <w:rPr>
          <w:rFonts w:hint="eastAsia" w:ascii="仿宋" w:hAnsi="仿宋" w:eastAsia="仿宋" w:cs="仿宋"/>
          <w:color w:val="auto"/>
          <w:spacing w:val="-2"/>
          <w:sz w:val="28"/>
          <w:szCs w:val="28"/>
          <w:highlight w:val="none"/>
          <w:lang w:eastAsia="zh-CN"/>
        </w:rPr>
        <w:t>各供应商</w:t>
      </w:r>
      <w:r>
        <w:rPr>
          <w:rFonts w:hint="eastAsia" w:ascii="仿宋" w:hAnsi="仿宋" w:eastAsia="仿宋" w:cs="仿宋"/>
          <w:color w:val="auto"/>
          <w:spacing w:val="-2"/>
          <w:sz w:val="28"/>
          <w:szCs w:val="28"/>
          <w:highlight w:val="none"/>
        </w:rPr>
        <w:t>的</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w:t>
      </w:r>
    </w:p>
    <w:p w14:paraId="20288467">
      <w:pPr>
        <w:pStyle w:val="8"/>
        <w:keepNext w:val="0"/>
        <w:keepLines w:val="0"/>
        <w:pageBreakBefore w:val="0"/>
        <w:widowControl w:val="0"/>
        <w:kinsoku/>
        <w:wordWrap/>
        <w:overflowPunct/>
        <w:topLinePunct w:val="0"/>
        <w:autoSpaceDE/>
        <w:autoSpaceDN/>
        <w:bidi w:val="0"/>
        <w:spacing w:line="400" w:lineRule="exact"/>
        <w:ind w:left="487"/>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8"/>
          <w:sz w:val="28"/>
          <w:szCs w:val="28"/>
          <w:highlight w:val="none"/>
          <w:lang w:eastAsia="zh-CN"/>
        </w:rPr>
        <w:t>12</w:t>
      </w:r>
      <w:r>
        <w:rPr>
          <w:rFonts w:hint="eastAsia" w:ascii="仿宋" w:hAnsi="仿宋" w:eastAsia="仿宋" w:cs="仿宋"/>
          <w:b/>
          <w:bCs/>
          <w:color w:val="auto"/>
          <w:spacing w:val="-8"/>
          <w:sz w:val="28"/>
          <w:szCs w:val="28"/>
          <w:highlight w:val="none"/>
        </w:rPr>
        <w:t>.报价</w:t>
      </w:r>
    </w:p>
    <w:p w14:paraId="59C79A0F">
      <w:pPr>
        <w:pStyle w:val="8"/>
        <w:keepNext w:val="0"/>
        <w:keepLines w:val="0"/>
        <w:pageBreakBefore w:val="0"/>
        <w:widowControl w:val="0"/>
        <w:kinsoku/>
        <w:wordWrap/>
        <w:overflowPunct/>
        <w:topLinePunct w:val="0"/>
        <w:autoSpaceDE/>
        <w:autoSpaceDN/>
        <w:bidi w:val="0"/>
        <w:spacing w:line="400" w:lineRule="exact"/>
        <w:ind w:right="80" w:firstLine="49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12</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除非</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文件另有规定，</w:t>
      </w:r>
      <w:r>
        <w:rPr>
          <w:rFonts w:hint="eastAsia" w:ascii="仿宋" w:hAnsi="仿宋" w:eastAsia="仿宋" w:cs="仿宋"/>
          <w:color w:val="auto"/>
          <w:spacing w:val="-1"/>
          <w:sz w:val="28"/>
          <w:szCs w:val="28"/>
          <w:highlight w:val="none"/>
          <w:lang w:val="en-US" w:eastAsia="zh-CN"/>
        </w:rPr>
        <w:t>本项目</w:t>
      </w:r>
      <w:r>
        <w:rPr>
          <w:rFonts w:hint="eastAsia" w:ascii="仿宋" w:hAnsi="仿宋" w:eastAsia="仿宋" w:cs="仿宋"/>
          <w:color w:val="auto"/>
          <w:spacing w:val="-1"/>
          <w:sz w:val="28"/>
          <w:szCs w:val="28"/>
          <w:highlight w:val="none"/>
        </w:rPr>
        <w:t>只</w:t>
      </w:r>
      <w:r>
        <w:rPr>
          <w:rFonts w:hint="eastAsia" w:ascii="仿宋" w:hAnsi="仿宋" w:eastAsia="仿宋" w:cs="仿宋"/>
          <w:color w:val="auto"/>
          <w:spacing w:val="-2"/>
          <w:sz w:val="28"/>
          <w:szCs w:val="28"/>
          <w:highlight w:val="none"/>
        </w:rPr>
        <w:t>允许有一个最终报价，任何有选择的报价或替</w:t>
      </w:r>
      <w:r>
        <w:rPr>
          <w:rFonts w:hint="eastAsia" w:ascii="仿宋" w:hAnsi="仿宋" w:eastAsia="仿宋" w:cs="仿宋"/>
          <w:color w:val="auto"/>
          <w:spacing w:val="-1"/>
          <w:sz w:val="28"/>
          <w:szCs w:val="28"/>
          <w:highlight w:val="none"/>
        </w:rPr>
        <w:t>代方案将导致</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无效。</w:t>
      </w:r>
    </w:p>
    <w:p w14:paraId="0E37E3F6">
      <w:pPr>
        <w:pStyle w:val="8"/>
        <w:keepNext w:val="0"/>
        <w:keepLines w:val="0"/>
        <w:pageBreakBefore w:val="0"/>
        <w:widowControl w:val="0"/>
        <w:kinsoku/>
        <w:wordWrap/>
        <w:overflowPunct/>
        <w:topLinePunct w:val="0"/>
        <w:autoSpaceDE/>
        <w:autoSpaceDN/>
        <w:bidi w:val="0"/>
        <w:spacing w:line="400" w:lineRule="exact"/>
        <w:ind w:firstLine="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12</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除非</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文件另有规定，报价原则</w:t>
      </w:r>
      <w:r>
        <w:rPr>
          <w:rFonts w:hint="eastAsia" w:ascii="仿宋" w:hAnsi="仿宋" w:eastAsia="仿宋" w:cs="仿宋"/>
          <w:color w:val="auto"/>
          <w:spacing w:val="-2"/>
          <w:sz w:val="28"/>
          <w:szCs w:val="28"/>
          <w:highlight w:val="none"/>
        </w:rPr>
        <w:t>上精确到小数点后两位，如不足两位，按照两</w:t>
      </w:r>
      <w:r>
        <w:rPr>
          <w:rFonts w:hint="eastAsia" w:ascii="仿宋" w:hAnsi="仿宋" w:eastAsia="仿宋" w:cs="仿宋"/>
          <w:color w:val="auto"/>
          <w:spacing w:val="-9"/>
          <w:sz w:val="28"/>
          <w:szCs w:val="28"/>
          <w:highlight w:val="none"/>
        </w:rPr>
        <w:t>位计算，如超出两位，按照四舍五入方式计算至小数点后两位（报价单位按</w:t>
      </w:r>
      <w:r>
        <w:rPr>
          <w:rFonts w:hint="eastAsia" w:ascii="仿宋" w:hAnsi="仿宋" w:eastAsia="仿宋" w:cs="仿宋"/>
          <w:color w:val="auto"/>
          <w:spacing w:val="-9"/>
          <w:sz w:val="28"/>
          <w:szCs w:val="28"/>
          <w:highlight w:val="none"/>
          <w:lang w:eastAsia="zh-CN"/>
        </w:rPr>
        <w:t>遴选</w:t>
      </w:r>
      <w:r>
        <w:rPr>
          <w:rFonts w:hint="eastAsia" w:ascii="仿宋" w:hAnsi="仿宋" w:eastAsia="仿宋" w:cs="仿宋"/>
          <w:color w:val="auto"/>
          <w:spacing w:val="-9"/>
          <w:sz w:val="28"/>
          <w:szCs w:val="28"/>
          <w:highlight w:val="none"/>
        </w:rPr>
        <w:t>文件约定）。</w:t>
      </w:r>
    </w:p>
    <w:p w14:paraId="55383044">
      <w:pPr>
        <w:pStyle w:val="8"/>
        <w:keepNext w:val="0"/>
        <w:keepLines w:val="0"/>
        <w:pageBreakBefore w:val="0"/>
        <w:widowControl w:val="0"/>
        <w:kinsoku/>
        <w:wordWrap/>
        <w:overflowPunct/>
        <w:topLinePunct w:val="0"/>
        <w:autoSpaceDE/>
        <w:autoSpaceDN/>
        <w:bidi w:val="0"/>
        <w:spacing w:line="400" w:lineRule="exact"/>
        <w:ind w:left="19" w:right="80" w:firstLine="47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12</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3</w:t>
      </w:r>
      <w:r>
        <w:rPr>
          <w:rFonts w:hint="eastAsia" w:ascii="仿宋" w:hAnsi="仿宋" w:eastAsia="仿宋" w:cs="仿宋"/>
          <w:color w:val="auto"/>
          <w:spacing w:val="-1"/>
          <w:sz w:val="28"/>
          <w:szCs w:val="28"/>
          <w:highlight w:val="none"/>
        </w:rPr>
        <w:t>除国家政策性文件规定以外，</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2"/>
          <w:sz w:val="28"/>
          <w:szCs w:val="28"/>
          <w:highlight w:val="none"/>
        </w:rPr>
        <w:t>所报价格在合同实施期间不因市场变化</w:t>
      </w:r>
      <w:r>
        <w:rPr>
          <w:rFonts w:hint="eastAsia" w:ascii="仿宋" w:hAnsi="仿宋" w:eastAsia="仿宋" w:cs="仿宋"/>
          <w:color w:val="auto"/>
          <w:spacing w:val="-5"/>
          <w:sz w:val="28"/>
          <w:szCs w:val="28"/>
          <w:highlight w:val="none"/>
        </w:rPr>
        <w:t>因素而变动。</w:t>
      </w:r>
    </w:p>
    <w:p w14:paraId="09F44B89">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eastAsia="zh-CN"/>
        </w:rPr>
        <w:t>13</w:t>
      </w:r>
      <w:r>
        <w:rPr>
          <w:rFonts w:hint="eastAsia" w:ascii="仿宋" w:hAnsi="仿宋" w:eastAsia="仿宋" w:cs="仿宋"/>
          <w:b/>
          <w:bCs/>
          <w:color w:val="auto"/>
          <w:spacing w:val="-4"/>
          <w:sz w:val="28"/>
          <w:szCs w:val="28"/>
          <w:highlight w:val="none"/>
        </w:rPr>
        <w:t>.</w:t>
      </w:r>
      <w:r>
        <w:rPr>
          <w:rFonts w:hint="eastAsia" w:ascii="仿宋" w:hAnsi="仿宋" w:eastAsia="仿宋" w:cs="仿宋"/>
          <w:b/>
          <w:bCs/>
          <w:color w:val="auto"/>
          <w:spacing w:val="-4"/>
          <w:sz w:val="28"/>
          <w:szCs w:val="28"/>
          <w:highlight w:val="none"/>
          <w:lang w:eastAsia="zh-CN"/>
        </w:rPr>
        <w:t>响应</w:t>
      </w:r>
      <w:r>
        <w:rPr>
          <w:rFonts w:hint="eastAsia" w:ascii="仿宋" w:hAnsi="仿宋" w:eastAsia="仿宋" w:cs="仿宋"/>
          <w:b/>
          <w:bCs/>
          <w:color w:val="auto"/>
          <w:spacing w:val="-4"/>
          <w:sz w:val="28"/>
          <w:szCs w:val="28"/>
          <w:highlight w:val="none"/>
        </w:rPr>
        <w:t>内容填写及说明</w:t>
      </w:r>
    </w:p>
    <w:p w14:paraId="7C9D057B">
      <w:pPr>
        <w:pStyle w:val="8"/>
        <w:keepNext w:val="0"/>
        <w:keepLines w:val="0"/>
        <w:pageBreakBefore w:val="0"/>
        <w:widowControl w:val="0"/>
        <w:kinsoku/>
        <w:wordWrap/>
        <w:overflowPunct/>
        <w:topLinePunct w:val="0"/>
        <w:autoSpaceDE/>
        <w:autoSpaceDN/>
        <w:bidi w:val="0"/>
        <w:spacing w:line="400" w:lineRule="exact"/>
        <w:ind w:right="80" w:firstLine="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13</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文件须对</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文件载明的资格、技术、资信、服务</w:t>
      </w:r>
      <w:r>
        <w:rPr>
          <w:rFonts w:hint="eastAsia" w:ascii="仿宋" w:hAnsi="仿宋" w:eastAsia="仿宋" w:cs="仿宋"/>
          <w:color w:val="auto"/>
          <w:spacing w:val="-2"/>
          <w:sz w:val="28"/>
          <w:szCs w:val="28"/>
          <w:highlight w:val="none"/>
        </w:rPr>
        <w:t>、报价等全部要求和</w:t>
      </w:r>
      <w:r>
        <w:rPr>
          <w:rFonts w:hint="eastAsia" w:ascii="仿宋" w:hAnsi="仿宋" w:eastAsia="仿宋" w:cs="仿宋"/>
          <w:color w:val="auto"/>
          <w:spacing w:val="1"/>
          <w:sz w:val="28"/>
          <w:szCs w:val="28"/>
          <w:highlight w:val="none"/>
        </w:rPr>
        <w:t>条件做出实质性和完整的响应，如果</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文件填报的内容资料不详，或没有提供</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pacing w:val="-1"/>
          <w:sz w:val="28"/>
          <w:szCs w:val="28"/>
          <w:highlight w:val="none"/>
        </w:rPr>
        <w:t>所要求的全部资料、证明及数据，将导致</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无效。</w:t>
      </w:r>
    </w:p>
    <w:p w14:paraId="0E605306">
      <w:pPr>
        <w:pStyle w:val="8"/>
        <w:keepNext w:val="0"/>
        <w:keepLines w:val="0"/>
        <w:pageBreakBefore w:val="0"/>
        <w:widowControl w:val="0"/>
        <w:kinsoku/>
        <w:wordWrap/>
        <w:overflowPunct/>
        <w:topLinePunct w:val="0"/>
        <w:autoSpaceDE/>
        <w:autoSpaceDN/>
        <w:bidi w:val="0"/>
        <w:spacing w:line="400" w:lineRule="exact"/>
        <w:ind w:left="20" w:right="80" w:firstLine="47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13</w:t>
      </w: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文件中提交</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文件要求的有关证明文</w:t>
      </w:r>
      <w:r>
        <w:rPr>
          <w:rFonts w:hint="eastAsia" w:ascii="仿宋" w:hAnsi="仿宋" w:eastAsia="仿宋" w:cs="仿宋"/>
          <w:color w:val="auto"/>
          <w:spacing w:val="-2"/>
          <w:sz w:val="28"/>
          <w:szCs w:val="28"/>
          <w:highlight w:val="none"/>
        </w:rPr>
        <w:t>件，作为其</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w:t>
      </w:r>
      <w:r>
        <w:rPr>
          <w:rFonts w:hint="eastAsia" w:ascii="仿宋" w:hAnsi="仿宋" w:eastAsia="仿宋" w:cs="仿宋"/>
          <w:color w:val="auto"/>
          <w:spacing w:val="-6"/>
          <w:sz w:val="28"/>
          <w:szCs w:val="28"/>
          <w:highlight w:val="none"/>
        </w:rPr>
        <w:t>的一部分。</w:t>
      </w:r>
    </w:p>
    <w:p w14:paraId="37C52DC3">
      <w:pPr>
        <w:pStyle w:val="8"/>
        <w:keepNext w:val="0"/>
        <w:keepLines w:val="0"/>
        <w:pageBreakBefore w:val="0"/>
        <w:widowControl w:val="0"/>
        <w:kinsoku/>
        <w:wordWrap/>
        <w:overflowPunct/>
        <w:topLinePunct w:val="0"/>
        <w:autoSpaceDE/>
        <w:autoSpaceDN/>
        <w:bidi w:val="0"/>
        <w:spacing w:line="400" w:lineRule="exact"/>
        <w:ind w:right="20" w:firstLine="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13</w:t>
      </w:r>
      <w:r>
        <w:rPr>
          <w:rFonts w:hint="eastAsia" w:ascii="仿宋" w:hAnsi="仿宋" w:eastAsia="仿宋" w:cs="仿宋"/>
          <w:color w:val="auto"/>
          <w:spacing w:val="-1"/>
          <w:sz w:val="28"/>
          <w:szCs w:val="28"/>
          <w:highlight w:val="none"/>
        </w:rPr>
        <w:t>.3</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文件中提交</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文件要求的所有服务的合格性以及符合</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3"/>
          <w:sz w:val="28"/>
          <w:szCs w:val="28"/>
          <w:highlight w:val="none"/>
        </w:rPr>
        <w:t>文件规定的证明文件</w:t>
      </w:r>
      <w:r>
        <w:rPr>
          <w:rFonts w:hint="eastAsia" w:ascii="仿宋" w:hAnsi="仿宋" w:eastAsia="仿宋" w:cs="仿宋"/>
          <w:color w:val="auto"/>
          <w:spacing w:val="-6"/>
          <w:sz w:val="28"/>
          <w:szCs w:val="28"/>
          <w:highlight w:val="none"/>
        </w:rPr>
        <w:t>，</w:t>
      </w:r>
      <w:r>
        <w:rPr>
          <w:rFonts w:hint="eastAsia" w:ascii="仿宋" w:hAnsi="仿宋" w:eastAsia="仿宋" w:cs="仿宋"/>
          <w:color w:val="auto"/>
          <w:spacing w:val="-3"/>
          <w:sz w:val="28"/>
          <w:szCs w:val="28"/>
          <w:highlight w:val="none"/>
        </w:rPr>
        <w:t>并作为</w:t>
      </w:r>
      <w:r>
        <w:rPr>
          <w:rFonts w:hint="eastAsia" w:ascii="仿宋" w:hAnsi="仿宋" w:eastAsia="仿宋" w:cs="仿宋"/>
          <w:color w:val="auto"/>
          <w:spacing w:val="-4"/>
          <w:sz w:val="28"/>
          <w:szCs w:val="28"/>
          <w:highlight w:val="none"/>
        </w:rPr>
        <w:t>其</w:t>
      </w:r>
      <w:r>
        <w:rPr>
          <w:rFonts w:hint="eastAsia" w:ascii="仿宋" w:hAnsi="仿宋" w:eastAsia="仿宋" w:cs="仿宋"/>
          <w:color w:val="auto"/>
          <w:spacing w:val="-4"/>
          <w:sz w:val="28"/>
          <w:szCs w:val="28"/>
          <w:highlight w:val="none"/>
          <w:lang w:eastAsia="zh-CN"/>
        </w:rPr>
        <w:t>响应</w:t>
      </w:r>
      <w:r>
        <w:rPr>
          <w:rFonts w:hint="eastAsia" w:ascii="仿宋" w:hAnsi="仿宋" w:eastAsia="仿宋" w:cs="仿宋"/>
          <w:color w:val="auto"/>
          <w:spacing w:val="-4"/>
          <w:sz w:val="28"/>
          <w:szCs w:val="28"/>
          <w:highlight w:val="none"/>
        </w:rPr>
        <w:t>文件的一部分。包括：</w:t>
      </w:r>
      <w:r>
        <w:rPr>
          <w:rFonts w:hint="eastAsia" w:ascii="仿宋" w:hAnsi="仿宋" w:eastAsia="仿宋" w:cs="仿宋"/>
          <w:color w:val="auto"/>
          <w:spacing w:val="-1"/>
          <w:sz w:val="28"/>
          <w:szCs w:val="28"/>
          <w:highlight w:val="none"/>
        </w:rPr>
        <w:t>服务主要内容的详细描述等。</w:t>
      </w:r>
    </w:p>
    <w:p w14:paraId="66D149D9">
      <w:pPr>
        <w:pStyle w:val="8"/>
        <w:keepNext w:val="0"/>
        <w:keepLines w:val="0"/>
        <w:pageBreakBefore w:val="0"/>
        <w:widowControl w:val="0"/>
        <w:kinsoku/>
        <w:wordWrap/>
        <w:overflowPunct/>
        <w:topLinePunct w:val="0"/>
        <w:autoSpaceDE/>
        <w:autoSpaceDN/>
        <w:bidi w:val="0"/>
        <w:spacing w:line="400" w:lineRule="exact"/>
        <w:ind w:right="80" w:firstLine="49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13</w:t>
      </w:r>
      <w:r>
        <w:rPr>
          <w:rFonts w:hint="eastAsia" w:ascii="仿宋" w:hAnsi="仿宋" w:eastAsia="仿宋" w:cs="仿宋"/>
          <w:color w:val="auto"/>
          <w:spacing w:val="-1"/>
          <w:sz w:val="28"/>
          <w:szCs w:val="28"/>
          <w:highlight w:val="none"/>
        </w:rPr>
        <w:t>.4</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文件应字迹清楚、编排有序、内容齐全、不得涂改或增</w:t>
      </w:r>
      <w:r>
        <w:rPr>
          <w:rFonts w:hint="eastAsia" w:ascii="仿宋" w:hAnsi="仿宋" w:eastAsia="仿宋" w:cs="仿宋"/>
          <w:color w:val="auto"/>
          <w:spacing w:val="-2"/>
          <w:sz w:val="28"/>
          <w:szCs w:val="28"/>
          <w:highlight w:val="none"/>
        </w:rPr>
        <w:t>删。如有错漏处必须</w:t>
      </w:r>
      <w:r>
        <w:rPr>
          <w:rFonts w:hint="eastAsia" w:ascii="仿宋" w:hAnsi="仿宋" w:eastAsia="仿宋" w:cs="仿宋"/>
          <w:color w:val="auto"/>
          <w:spacing w:val="-1"/>
          <w:sz w:val="28"/>
          <w:szCs w:val="28"/>
          <w:highlight w:val="none"/>
        </w:rPr>
        <w:t>修改，应在修改处加盖</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公章(或盖章)。</w:t>
      </w:r>
    </w:p>
    <w:p w14:paraId="568B9192">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6"/>
          <w:sz w:val="28"/>
          <w:szCs w:val="28"/>
          <w:highlight w:val="none"/>
          <w:lang w:val="en-US" w:eastAsia="zh-CN"/>
        </w:rPr>
        <w:t>14</w:t>
      </w:r>
      <w:r>
        <w:rPr>
          <w:rFonts w:hint="eastAsia" w:ascii="仿宋" w:hAnsi="仿宋" w:eastAsia="仿宋" w:cs="仿宋"/>
          <w:b/>
          <w:bCs/>
          <w:color w:val="auto"/>
          <w:spacing w:val="-6"/>
          <w:sz w:val="28"/>
          <w:szCs w:val="28"/>
          <w:highlight w:val="none"/>
        </w:rPr>
        <w:t>.保证金</w:t>
      </w:r>
    </w:p>
    <w:p w14:paraId="1377AD63">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本项目无须递交保证金。</w:t>
      </w:r>
    </w:p>
    <w:p w14:paraId="61446F34">
      <w:pPr>
        <w:pStyle w:val="8"/>
        <w:keepNext w:val="0"/>
        <w:keepLines w:val="0"/>
        <w:pageBreakBefore w:val="0"/>
        <w:widowControl w:val="0"/>
        <w:kinsoku/>
        <w:wordWrap/>
        <w:overflowPunct/>
        <w:topLinePunct w:val="0"/>
        <w:autoSpaceDE/>
        <w:autoSpaceDN/>
        <w:bidi w:val="0"/>
        <w:spacing w:line="400" w:lineRule="exact"/>
        <w:ind w:left="486"/>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6"/>
          <w:sz w:val="28"/>
          <w:szCs w:val="28"/>
          <w:highlight w:val="none"/>
          <w:lang w:eastAsia="zh-CN"/>
        </w:rPr>
        <w:t>15</w:t>
      </w:r>
      <w:r>
        <w:rPr>
          <w:rFonts w:hint="eastAsia" w:ascii="仿宋" w:hAnsi="仿宋" w:eastAsia="仿宋" w:cs="仿宋"/>
          <w:b/>
          <w:bCs/>
          <w:color w:val="auto"/>
          <w:spacing w:val="-6"/>
          <w:sz w:val="28"/>
          <w:szCs w:val="28"/>
          <w:highlight w:val="none"/>
        </w:rPr>
        <w:t>.</w:t>
      </w:r>
      <w:r>
        <w:rPr>
          <w:rFonts w:hint="eastAsia" w:ascii="仿宋" w:hAnsi="仿宋" w:eastAsia="仿宋" w:cs="仿宋"/>
          <w:b/>
          <w:bCs/>
          <w:color w:val="auto"/>
          <w:spacing w:val="-6"/>
          <w:sz w:val="28"/>
          <w:szCs w:val="28"/>
          <w:highlight w:val="none"/>
          <w:lang w:eastAsia="zh-CN"/>
        </w:rPr>
        <w:t>响应</w:t>
      </w:r>
      <w:r>
        <w:rPr>
          <w:rFonts w:hint="eastAsia" w:ascii="仿宋" w:hAnsi="仿宋" w:eastAsia="仿宋" w:cs="仿宋"/>
          <w:b/>
          <w:bCs/>
          <w:color w:val="auto"/>
          <w:spacing w:val="-6"/>
          <w:sz w:val="28"/>
          <w:szCs w:val="28"/>
          <w:highlight w:val="none"/>
        </w:rPr>
        <w:t>有效期</w:t>
      </w:r>
    </w:p>
    <w:p w14:paraId="0A4B5B81">
      <w:pPr>
        <w:pStyle w:val="8"/>
        <w:keepNext w:val="0"/>
        <w:keepLines w:val="0"/>
        <w:pageBreakBefore w:val="0"/>
        <w:widowControl w:val="0"/>
        <w:kinsoku/>
        <w:wordWrap/>
        <w:overflowPunct/>
        <w:topLinePunct w:val="0"/>
        <w:autoSpaceDE/>
        <w:autoSpaceDN/>
        <w:bidi w:val="0"/>
        <w:spacing w:line="400" w:lineRule="exact"/>
        <w:ind w:left="1" w:right="80" w:firstLine="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15</w:t>
      </w:r>
      <w:r>
        <w:rPr>
          <w:rFonts w:hint="eastAsia" w:ascii="仿宋" w:hAnsi="仿宋" w:eastAsia="仿宋" w:cs="仿宋"/>
          <w:color w:val="auto"/>
          <w:spacing w:val="-1"/>
          <w:sz w:val="28"/>
          <w:szCs w:val="28"/>
          <w:highlight w:val="none"/>
        </w:rPr>
        <w:t>.1为保证</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有足够的时间完成评标和与</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签订合同，</w:t>
      </w:r>
      <w:r>
        <w:rPr>
          <w:rFonts w:hint="eastAsia" w:ascii="仿宋" w:hAnsi="仿宋" w:eastAsia="仿宋" w:cs="仿宋"/>
          <w:color w:val="auto"/>
          <w:spacing w:val="-2"/>
          <w:sz w:val="28"/>
          <w:szCs w:val="28"/>
          <w:highlight w:val="none"/>
        </w:rPr>
        <w:t>规定</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有效期。</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1"/>
          <w:sz w:val="28"/>
          <w:szCs w:val="28"/>
          <w:highlight w:val="none"/>
        </w:rPr>
        <w:t>有效期见前附表。</w:t>
      </w:r>
    </w:p>
    <w:p w14:paraId="11081652">
      <w:pPr>
        <w:pStyle w:val="8"/>
        <w:keepNext w:val="0"/>
        <w:keepLines w:val="0"/>
        <w:pageBreakBefore w:val="0"/>
        <w:widowControl w:val="0"/>
        <w:kinsoku/>
        <w:wordWrap/>
        <w:overflowPunct/>
        <w:topLinePunct w:val="0"/>
        <w:autoSpaceDE/>
        <w:autoSpaceDN/>
        <w:bidi w:val="0"/>
        <w:spacing w:line="400" w:lineRule="exact"/>
        <w:ind w:left="49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15</w:t>
      </w:r>
      <w:r>
        <w:rPr>
          <w:rFonts w:hint="eastAsia" w:ascii="仿宋" w:hAnsi="仿宋" w:eastAsia="仿宋" w:cs="仿宋"/>
          <w:color w:val="auto"/>
          <w:spacing w:val="-1"/>
          <w:sz w:val="28"/>
          <w:szCs w:val="28"/>
          <w:highlight w:val="none"/>
        </w:rPr>
        <w:t>.2在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有效期内，</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保持有效，</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不得要求</w:t>
      </w:r>
      <w:r>
        <w:rPr>
          <w:rFonts w:hint="eastAsia" w:ascii="仿宋" w:hAnsi="仿宋" w:eastAsia="仿宋" w:cs="仿宋"/>
          <w:color w:val="auto"/>
          <w:spacing w:val="-2"/>
          <w:sz w:val="28"/>
          <w:szCs w:val="28"/>
          <w:highlight w:val="none"/>
        </w:rPr>
        <w:t>撤销或修改其</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w:t>
      </w:r>
    </w:p>
    <w:p w14:paraId="278563A2">
      <w:pPr>
        <w:pStyle w:val="8"/>
        <w:keepNext w:val="0"/>
        <w:keepLines w:val="0"/>
        <w:pageBreakBefore w:val="0"/>
        <w:widowControl w:val="0"/>
        <w:kinsoku/>
        <w:wordWrap/>
        <w:overflowPunct/>
        <w:topLinePunct w:val="0"/>
        <w:autoSpaceDE/>
        <w:autoSpaceDN/>
        <w:bidi w:val="0"/>
        <w:spacing w:line="400" w:lineRule="exact"/>
        <w:ind w:left="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lang w:eastAsia="zh-CN"/>
        </w:rPr>
        <w:t>15</w:t>
      </w:r>
      <w:r>
        <w:rPr>
          <w:rFonts w:hint="eastAsia" w:ascii="仿宋" w:hAnsi="仿宋" w:eastAsia="仿宋" w:cs="仿宋"/>
          <w:color w:val="auto"/>
          <w:spacing w:val="-3"/>
          <w:sz w:val="28"/>
          <w:szCs w:val="28"/>
          <w:highlight w:val="none"/>
        </w:rPr>
        <w:t>.3</w:t>
      </w:r>
      <w:r>
        <w:rPr>
          <w:rFonts w:hint="eastAsia" w:ascii="仿宋" w:hAnsi="仿宋" w:eastAsia="仿宋" w:cs="仿宋"/>
          <w:color w:val="auto"/>
          <w:spacing w:val="-3"/>
          <w:sz w:val="28"/>
          <w:szCs w:val="28"/>
          <w:highlight w:val="none"/>
          <w:lang w:eastAsia="zh-CN"/>
        </w:rPr>
        <w:t>响应</w:t>
      </w:r>
      <w:r>
        <w:rPr>
          <w:rFonts w:hint="eastAsia" w:ascii="仿宋" w:hAnsi="仿宋" w:eastAsia="仿宋" w:cs="仿宋"/>
          <w:color w:val="auto"/>
          <w:spacing w:val="-3"/>
          <w:sz w:val="28"/>
          <w:szCs w:val="28"/>
          <w:highlight w:val="none"/>
        </w:rPr>
        <w:t>有效期从</w:t>
      </w:r>
      <w:r>
        <w:rPr>
          <w:rFonts w:hint="eastAsia" w:ascii="仿宋" w:hAnsi="仿宋" w:eastAsia="仿宋" w:cs="仿宋"/>
          <w:color w:val="auto"/>
          <w:spacing w:val="-3"/>
          <w:sz w:val="28"/>
          <w:szCs w:val="28"/>
          <w:highlight w:val="none"/>
          <w:lang w:eastAsia="zh-CN"/>
        </w:rPr>
        <w:t>响应</w:t>
      </w:r>
      <w:r>
        <w:rPr>
          <w:rFonts w:hint="eastAsia" w:ascii="仿宋" w:hAnsi="仿宋" w:eastAsia="仿宋" w:cs="仿宋"/>
          <w:color w:val="auto"/>
          <w:spacing w:val="-3"/>
          <w:sz w:val="28"/>
          <w:szCs w:val="28"/>
          <w:highlight w:val="none"/>
        </w:rPr>
        <w:t>截止日起计算。</w:t>
      </w:r>
    </w:p>
    <w:p w14:paraId="7C24AF59">
      <w:pPr>
        <w:pStyle w:val="8"/>
        <w:keepNext w:val="0"/>
        <w:keepLines w:val="0"/>
        <w:pageBreakBefore w:val="0"/>
        <w:widowControl w:val="0"/>
        <w:kinsoku/>
        <w:wordWrap/>
        <w:overflowPunct/>
        <w:topLinePunct w:val="0"/>
        <w:autoSpaceDE/>
        <w:autoSpaceDN/>
        <w:bidi w:val="0"/>
        <w:spacing w:line="400" w:lineRule="exact"/>
        <w:ind w:firstLine="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1</w:t>
      </w:r>
      <w:r>
        <w:rPr>
          <w:rFonts w:hint="eastAsia" w:ascii="仿宋" w:hAnsi="仿宋" w:eastAsia="仿宋" w:cs="仿宋"/>
          <w:color w:val="auto"/>
          <w:spacing w:val="-1"/>
          <w:sz w:val="28"/>
          <w:szCs w:val="28"/>
          <w:highlight w:val="none"/>
          <w:lang w:val="en-US" w:eastAsia="zh-CN"/>
        </w:rPr>
        <w:t>5</w:t>
      </w:r>
      <w:r>
        <w:rPr>
          <w:rFonts w:hint="eastAsia" w:ascii="仿宋" w:hAnsi="仿宋" w:eastAsia="仿宋" w:cs="仿宋"/>
          <w:color w:val="auto"/>
          <w:spacing w:val="-1"/>
          <w:sz w:val="28"/>
          <w:szCs w:val="28"/>
          <w:highlight w:val="none"/>
        </w:rPr>
        <w:t>.4在原定</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有效期满之前，如果出现特殊情况，</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可以书面形式</w:t>
      </w:r>
      <w:r>
        <w:rPr>
          <w:rFonts w:hint="eastAsia" w:ascii="仿宋" w:hAnsi="仿宋" w:eastAsia="仿宋" w:cs="仿宋"/>
          <w:color w:val="auto"/>
          <w:spacing w:val="-2"/>
          <w:sz w:val="28"/>
          <w:szCs w:val="28"/>
          <w:highlight w:val="none"/>
        </w:rPr>
        <w:t>提出延长</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1"/>
          <w:sz w:val="28"/>
          <w:szCs w:val="28"/>
          <w:highlight w:val="none"/>
        </w:rPr>
        <w:t>有效期的要求。</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以书面形式予以答复，</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可以拒绝这种要求。同意</w:t>
      </w:r>
      <w:r>
        <w:rPr>
          <w:rFonts w:hint="eastAsia" w:ascii="仿宋" w:hAnsi="仿宋" w:eastAsia="仿宋" w:cs="仿宋"/>
          <w:color w:val="auto"/>
          <w:spacing w:val="-1"/>
          <w:sz w:val="28"/>
          <w:szCs w:val="28"/>
          <w:highlight w:val="none"/>
        </w:rPr>
        <w:t>延长</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有效期的</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不允许修改其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文件的实质性内容。</w:t>
      </w:r>
    </w:p>
    <w:p w14:paraId="26EB7817">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1</w:t>
      </w:r>
      <w:r>
        <w:rPr>
          <w:rFonts w:hint="eastAsia" w:ascii="仿宋" w:hAnsi="仿宋" w:eastAsia="仿宋" w:cs="仿宋"/>
          <w:b/>
          <w:bCs/>
          <w:color w:val="auto"/>
          <w:spacing w:val="-5"/>
          <w:sz w:val="28"/>
          <w:szCs w:val="28"/>
          <w:highlight w:val="none"/>
          <w:lang w:val="en-US" w:eastAsia="zh-CN"/>
        </w:rPr>
        <w:t>6</w:t>
      </w:r>
      <w:r>
        <w:rPr>
          <w:rFonts w:hint="eastAsia" w:ascii="仿宋" w:hAnsi="仿宋" w:eastAsia="仿宋" w:cs="仿宋"/>
          <w:b/>
          <w:bCs/>
          <w:color w:val="auto"/>
          <w:spacing w:val="-5"/>
          <w:sz w:val="28"/>
          <w:szCs w:val="28"/>
          <w:highlight w:val="none"/>
        </w:rPr>
        <w:t>.</w:t>
      </w:r>
      <w:r>
        <w:rPr>
          <w:rFonts w:hint="eastAsia" w:ascii="仿宋" w:hAnsi="仿宋" w:eastAsia="仿宋" w:cs="仿宋"/>
          <w:b/>
          <w:bCs/>
          <w:color w:val="auto"/>
          <w:spacing w:val="-5"/>
          <w:sz w:val="28"/>
          <w:szCs w:val="28"/>
          <w:highlight w:val="none"/>
          <w:lang w:eastAsia="zh-CN"/>
        </w:rPr>
        <w:t>响应</w:t>
      </w:r>
      <w:r>
        <w:rPr>
          <w:rFonts w:hint="eastAsia" w:ascii="仿宋" w:hAnsi="仿宋" w:eastAsia="仿宋" w:cs="仿宋"/>
          <w:b/>
          <w:bCs/>
          <w:color w:val="auto"/>
          <w:spacing w:val="-5"/>
          <w:sz w:val="28"/>
          <w:szCs w:val="28"/>
          <w:highlight w:val="none"/>
        </w:rPr>
        <w:t>文件份数</w:t>
      </w:r>
    </w:p>
    <w:p w14:paraId="40668AFE">
      <w:pPr>
        <w:pStyle w:val="8"/>
        <w:keepNext w:val="0"/>
        <w:keepLines w:val="0"/>
        <w:pageBreakBefore w:val="0"/>
        <w:widowControl w:val="0"/>
        <w:kinsoku/>
        <w:wordWrap/>
        <w:overflowPunct/>
        <w:topLinePunct w:val="0"/>
        <w:autoSpaceDE/>
        <w:autoSpaceDN/>
        <w:bidi w:val="0"/>
        <w:spacing w:line="400" w:lineRule="exact"/>
        <w:ind w:left="49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val="en-US" w:eastAsia="zh-CN"/>
        </w:rPr>
        <w:t>6</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应按照</w:t>
      </w:r>
      <w:r>
        <w:rPr>
          <w:rFonts w:hint="eastAsia" w:ascii="仿宋" w:hAnsi="仿宋" w:eastAsia="仿宋" w:cs="仿宋"/>
          <w:color w:val="auto"/>
          <w:spacing w:val="-1"/>
          <w:sz w:val="28"/>
          <w:szCs w:val="28"/>
          <w:highlight w:val="none"/>
          <w:lang w:eastAsia="zh-CN"/>
        </w:rPr>
        <w:t>前附表</w:t>
      </w:r>
      <w:r>
        <w:rPr>
          <w:rFonts w:hint="eastAsia" w:ascii="仿宋" w:hAnsi="仿宋" w:eastAsia="仿宋" w:cs="仿宋"/>
          <w:color w:val="auto"/>
          <w:spacing w:val="-1"/>
          <w:sz w:val="28"/>
          <w:szCs w:val="28"/>
          <w:highlight w:val="none"/>
        </w:rPr>
        <w:t>的要求准备</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w:t>
      </w:r>
    </w:p>
    <w:p w14:paraId="56C82AEB">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1AE10507">
      <w:pPr>
        <w:pStyle w:val="8"/>
        <w:keepNext w:val="0"/>
        <w:keepLines w:val="0"/>
        <w:pageBreakBefore w:val="0"/>
        <w:widowControl w:val="0"/>
        <w:kinsoku/>
        <w:wordWrap/>
        <w:overflowPunct/>
        <w:topLinePunct w:val="0"/>
        <w:autoSpaceDE/>
        <w:autoSpaceDN/>
        <w:bidi w:val="0"/>
        <w:spacing w:line="400" w:lineRule="exact"/>
        <w:ind w:left="3643"/>
        <w:textAlignment w:val="auto"/>
        <w:outlineLvl w:val="0"/>
        <w:rPr>
          <w:rFonts w:hint="eastAsia" w:ascii="仿宋" w:hAnsi="仿宋" w:eastAsia="仿宋" w:cs="仿宋"/>
          <w:color w:val="auto"/>
          <w:sz w:val="28"/>
          <w:szCs w:val="28"/>
          <w:highlight w:val="none"/>
        </w:rPr>
      </w:pPr>
      <w:r>
        <w:rPr>
          <w:rFonts w:hint="eastAsia" w:ascii="仿宋" w:hAnsi="仿宋" w:eastAsia="仿宋" w:cs="仿宋"/>
          <w:b/>
          <w:bCs/>
          <w:color w:val="auto"/>
          <w:spacing w:val="-6"/>
          <w:sz w:val="28"/>
          <w:szCs w:val="28"/>
          <w:highlight w:val="none"/>
        </w:rPr>
        <w:t>四、</w:t>
      </w:r>
      <w:r>
        <w:rPr>
          <w:rFonts w:hint="eastAsia" w:ascii="仿宋" w:hAnsi="仿宋" w:eastAsia="仿宋" w:cs="仿宋"/>
          <w:b/>
          <w:bCs/>
          <w:color w:val="auto"/>
          <w:spacing w:val="-6"/>
          <w:sz w:val="28"/>
          <w:szCs w:val="28"/>
          <w:highlight w:val="none"/>
          <w:lang w:eastAsia="zh-CN"/>
        </w:rPr>
        <w:t>响应</w:t>
      </w:r>
      <w:r>
        <w:rPr>
          <w:rFonts w:hint="eastAsia" w:ascii="仿宋" w:hAnsi="仿宋" w:eastAsia="仿宋" w:cs="仿宋"/>
          <w:b/>
          <w:bCs/>
          <w:color w:val="auto"/>
          <w:spacing w:val="-6"/>
          <w:sz w:val="28"/>
          <w:szCs w:val="28"/>
          <w:highlight w:val="none"/>
        </w:rPr>
        <w:t>文件的递交</w:t>
      </w:r>
    </w:p>
    <w:p w14:paraId="67B419AA">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33CB8344">
      <w:pPr>
        <w:pStyle w:val="8"/>
        <w:keepNext w:val="0"/>
        <w:keepLines w:val="0"/>
        <w:pageBreakBefore w:val="0"/>
        <w:widowControl w:val="0"/>
        <w:kinsoku/>
        <w:wordWrap/>
        <w:overflowPunct/>
        <w:topLinePunct w:val="0"/>
        <w:autoSpaceDE/>
        <w:autoSpaceDN/>
        <w:bidi w:val="0"/>
        <w:spacing w:line="400" w:lineRule="exact"/>
        <w:ind w:left="496"/>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rPr>
        <w:t>1</w:t>
      </w:r>
      <w:r>
        <w:rPr>
          <w:rFonts w:hint="eastAsia" w:ascii="仿宋" w:hAnsi="仿宋" w:eastAsia="仿宋" w:cs="仿宋"/>
          <w:b/>
          <w:bCs/>
          <w:color w:val="auto"/>
          <w:spacing w:val="-4"/>
          <w:sz w:val="28"/>
          <w:szCs w:val="28"/>
          <w:highlight w:val="none"/>
          <w:lang w:val="en-US" w:eastAsia="zh-CN"/>
        </w:rPr>
        <w:t>7</w:t>
      </w:r>
      <w:r>
        <w:rPr>
          <w:rFonts w:hint="eastAsia" w:ascii="仿宋" w:hAnsi="仿宋" w:eastAsia="仿宋" w:cs="仿宋"/>
          <w:b/>
          <w:bCs/>
          <w:color w:val="auto"/>
          <w:spacing w:val="-4"/>
          <w:sz w:val="28"/>
          <w:szCs w:val="28"/>
          <w:highlight w:val="none"/>
        </w:rPr>
        <w:t>、</w:t>
      </w:r>
      <w:r>
        <w:rPr>
          <w:rFonts w:hint="eastAsia" w:ascii="仿宋" w:hAnsi="仿宋" w:eastAsia="仿宋" w:cs="仿宋"/>
          <w:b/>
          <w:bCs/>
          <w:color w:val="auto"/>
          <w:spacing w:val="-4"/>
          <w:sz w:val="28"/>
          <w:szCs w:val="28"/>
          <w:highlight w:val="none"/>
          <w:lang w:eastAsia="zh-CN"/>
        </w:rPr>
        <w:t>响应</w:t>
      </w:r>
      <w:r>
        <w:rPr>
          <w:rFonts w:hint="eastAsia" w:ascii="仿宋" w:hAnsi="仿宋" w:eastAsia="仿宋" w:cs="仿宋"/>
          <w:b/>
          <w:bCs/>
          <w:color w:val="auto"/>
          <w:spacing w:val="-4"/>
          <w:sz w:val="28"/>
          <w:szCs w:val="28"/>
          <w:highlight w:val="none"/>
        </w:rPr>
        <w:t>文件的密封</w:t>
      </w:r>
      <w:r>
        <w:rPr>
          <w:rFonts w:hint="eastAsia" w:ascii="仿宋" w:hAnsi="仿宋" w:eastAsia="仿宋" w:cs="仿宋"/>
          <w:b/>
          <w:bCs/>
          <w:color w:val="auto"/>
          <w:spacing w:val="-4"/>
          <w:sz w:val="28"/>
          <w:szCs w:val="28"/>
          <w:highlight w:val="none"/>
          <w:lang w:val="en-US" w:eastAsia="zh-CN"/>
        </w:rPr>
        <w:t>和份数</w:t>
      </w:r>
    </w:p>
    <w:p w14:paraId="3C71C859">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详见</w:t>
      </w:r>
      <w:r>
        <w:rPr>
          <w:rFonts w:hint="eastAsia" w:ascii="仿宋" w:hAnsi="仿宋" w:eastAsia="仿宋" w:cs="仿宋"/>
          <w:color w:val="auto"/>
          <w:spacing w:val="-1"/>
          <w:sz w:val="28"/>
          <w:szCs w:val="28"/>
          <w:highlight w:val="none"/>
          <w:lang w:eastAsia="zh-CN"/>
        </w:rPr>
        <w:t>前附表</w:t>
      </w:r>
      <w:r>
        <w:rPr>
          <w:rFonts w:hint="eastAsia" w:ascii="仿宋" w:hAnsi="仿宋" w:eastAsia="仿宋" w:cs="仿宋"/>
          <w:color w:val="auto"/>
          <w:spacing w:val="-1"/>
          <w:sz w:val="28"/>
          <w:szCs w:val="28"/>
          <w:highlight w:val="none"/>
        </w:rPr>
        <w:t>。</w:t>
      </w:r>
    </w:p>
    <w:p w14:paraId="6E40CDB5">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val="en-US" w:eastAsia="zh-CN"/>
        </w:rPr>
        <w:t>18</w:t>
      </w:r>
      <w:r>
        <w:rPr>
          <w:rFonts w:hint="eastAsia" w:ascii="仿宋" w:hAnsi="仿宋" w:eastAsia="仿宋" w:cs="仿宋"/>
          <w:b/>
          <w:bCs/>
          <w:color w:val="auto"/>
          <w:spacing w:val="-4"/>
          <w:sz w:val="28"/>
          <w:szCs w:val="28"/>
          <w:highlight w:val="none"/>
        </w:rPr>
        <w:t>、</w:t>
      </w:r>
      <w:r>
        <w:rPr>
          <w:rFonts w:hint="eastAsia" w:ascii="仿宋" w:hAnsi="仿宋" w:eastAsia="仿宋" w:cs="仿宋"/>
          <w:b/>
          <w:bCs/>
          <w:color w:val="auto"/>
          <w:spacing w:val="-4"/>
          <w:sz w:val="28"/>
          <w:szCs w:val="28"/>
          <w:highlight w:val="none"/>
          <w:lang w:eastAsia="zh-CN"/>
        </w:rPr>
        <w:t>响应</w:t>
      </w:r>
      <w:r>
        <w:rPr>
          <w:rFonts w:hint="eastAsia" w:ascii="仿宋" w:hAnsi="仿宋" w:eastAsia="仿宋" w:cs="仿宋"/>
          <w:b/>
          <w:bCs/>
          <w:color w:val="auto"/>
          <w:spacing w:val="-4"/>
          <w:sz w:val="28"/>
          <w:szCs w:val="28"/>
          <w:highlight w:val="none"/>
        </w:rPr>
        <w:t>文件的递交</w:t>
      </w:r>
    </w:p>
    <w:p w14:paraId="4A4F9835">
      <w:pPr>
        <w:pStyle w:val="8"/>
        <w:keepNext w:val="0"/>
        <w:keepLines w:val="0"/>
        <w:pageBreakBefore w:val="0"/>
        <w:widowControl w:val="0"/>
        <w:kinsoku/>
        <w:wordWrap/>
        <w:overflowPunct/>
        <w:topLinePunct w:val="0"/>
        <w:autoSpaceDE/>
        <w:autoSpaceDN/>
        <w:bidi w:val="0"/>
        <w:spacing w:line="400" w:lineRule="exact"/>
        <w:ind w:left="3" w:right="2" w:firstLine="47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应在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截止时间之前，现场递交</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文件。未在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截止时间前现场递</w:t>
      </w:r>
      <w:r>
        <w:rPr>
          <w:rFonts w:hint="eastAsia" w:ascii="仿宋" w:hAnsi="仿宋" w:eastAsia="仿宋" w:cs="仿宋"/>
          <w:color w:val="auto"/>
          <w:spacing w:val="-2"/>
          <w:sz w:val="28"/>
          <w:szCs w:val="28"/>
          <w:highlight w:val="none"/>
        </w:rPr>
        <w:t>交</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文件的，不予接收。</w:t>
      </w:r>
    </w:p>
    <w:p w14:paraId="7286FE94">
      <w:pPr>
        <w:pStyle w:val="8"/>
        <w:keepNext w:val="0"/>
        <w:keepLines w:val="0"/>
        <w:pageBreakBefore w:val="0"/>
        <w:widowControl w:val="0"/>
        <w:kinsoku/>
        <w:wordWrap/>
        <w:overflowPunct/>
        <w:topLinePunct w:val="0"/>
        <w:autoSpaceDE/>
        <w:autoSpaceDN/>
        <w:bidi w:val="0"/>
        <w:spacing w:line="400" w:lineRule="exact"/>
        <w:ind w:left="3864"/>
        <w:textAlignment w:val="auto"/>
        <w:outlineLvl w:val="0"/>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五、开标与评标</w:t>
      </w:r>
    </w:p>
    <w:p w14:paraId="7BC59F02">
      <w:pPr>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8"/>
          <w:szCs w:val="28"/>
          <w:highlight w:val="none"/>
        </w:rPr>
      </w:pPr>
    </w:p>
    <w:p w14:paraId="23B9EB7C">
      <w:pPr>
        <w:pStyle w:val="8"/>
        <w:keepNext w:val="0"/>
        <w:keepLines w:val="0"/>
        <w:pageBreakBefore w:val="0"/>
        <w:widowControl w:val="0"/>
        <w:kinsoku/>
        <w:wordWrap/>
        <w:overflowPunct/>
        <w:topLinePunct w:val="0"/>
        <w:autoSpaceDE/>
        <w:autoSpaceDN/>
        <w:bidi w:val="0"/>
        <w:spacing w:line="400" w:lineRule="exact"/>
        <w:ind w:left="469"/>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lang w:val="en-US" w:eastAsia="zh-CN"/>
        </w:rPr>
        <w:t>19</w:t>
      </w:r>
      <w:r>
        <w:rPr>
          <w:rFonts w:hint="eastAsia" w:ascii="仿宋" w:hAnsi="仿宋" w:eastAsia="仿宋" w:cs="仿宋"/>
          <w:b/>
          <w:bCs/>
          <w:color w:val="auto"/>
          <w:spacing w:val="-3"/>
          <w:sz w:val="28"/>
          <w:szCs w:val="28"/>
          <w:highlight w:val="none"/>
        </w:rPr>
        <w:t>.开标与</w:t>
      </w:r>
      <w:r>
        <w:rPr>
          <w:rFonts w:hint="eastAsia" w:ascii="仿宋" w:hAnsi="仿宋" w:eastAsia="仿宋" w:cs="仿宋"/>
          <w:b/>
          <w:bCs/>
          <w:color w:val="auto"/>
          <w:spacing w:val="-3"/>
          <w:sz w:val="28"/>
          <w:szCs w:val="28"/>
          <w:highlight w:val="none"/>
          <w:lang w:eastAsia="zh-CN"/>
        </w:rPr>
        <w:t>响应</w:t>
      </w:r>
      <w:r>
        <w:rPr>
          <w:rFonts w:hint="eastAsia" w:ascii="仿宋" w:hAnsi="仿宋" w:eastAsia="仿宋" w:cs="仿宋"/>
          <w:b/>
          <w:bCs/>
          <w:color w:val="auto"/>
          <w:spacing w:val="-3"/>
          <w:sz w:val="28"/>
          <w:szCs w:val="28"/>
          <w:highlight w:val="none"/>
        </w:rPr>
        <w:t>文件的评审</w:t>
      </w:r>
    </w:p>
    <w:p w14:paraId="431E9125">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19</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将在本项目</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公告规定的时间和地点组织开标。</w:t>
      </w:r>
    </w:p>
    <w:p w14:paraId="1A2D76CC">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19</w:t>
      </w:r>
      <w:r>
        <w:rPr>
          <w:rFonts w:hint="eastAsia" w:ascii="仿宋" w:hAnsi="仿宋" w:eastAsia="仿宋" w:cs="仿宋"/>
          <w:color w:val="auto"/>
          <w:spacing w:val="-3"/>
          <w:sz w:val="28"/>
          <w:szCs w:val="28"/>
          <w:highlight w:val="none"/>
        </w:rPr>
        <w:t>.2开标程序</w:t>
      </w:r>
    </w:p>
    <w:p w14:paraId="313A754A">
      <w:pPr>
        <w:pStyle w:val="8"/>
        <w:keepNext w:val="0"/>
        <w:keepLines w:val="0"/>
        <w:pageBreakBefore w:val="0"/>
        <w:widowControl w:val="0"/>
        <w:kinsoku/>
        <w:wordWrap/>
        <w:overflowPunct/>
        <w:topLinePunct w:val="0"/>
        <w:autoSpaceDE/>
        <w:autoSpaceDN/>
        <w:bidi w:val="0"/>
        <w:spacing w:line="400" w:lineRule="exact"/>
        <w:ind w:left="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主持人按下列程序进行开标：</w:t>
      </w:r>
    </w:p>
    <w:p w14:paraId="5EBFAAF1">
      <w:pPr>
        <w:pStyle w:val="8"/>
        <w:keepNext w:val="0"/>
        <w:keepLines w:val="0"/>
        <w:pageBreakBefore w:val="0"/>
        <w:widowControl w:val="0"/>
        <w:kinsoku/>
        <w:wordWrap/>
        <w:overflowPunct/>
        <w:topLinePunct w:val="0"/>
        <w:autoSpaceDE/>
        <w:autoSpaceDN/>
        <w:bidi w:val="0"/>
        <w:spacing w:line="400" w:lineRule="exact"/>
        <w:ind w:left="49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（1）宣布开标纪律；</w:t>
      </w:r>
    </w:p>
    <w:p w14:paraId="62787B94">
      <w:pPr>
        <w:pStyle w:val="8"/>
        <w:keepNext w:val="0"/>
        <w:keepLines w:val="0"/>
        <w:pageBreakBefore w:val="0"/>
        <w:widowControl w:val="0"/>
        <w:kinsoku/>
        <w:wordWrap/>
        <w:overflowPunct/>
        <w:topLinePunct w:val="0"/>
        <w:autoSpaceDE/>
        <w:autoSpaceDN/>
        <w:bidi w:val="0"/>
        <w:spacing w:line="400" w:lineRule="exact"/>
        <w:ind w:left="49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（2）公布在</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截止时间前递交</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文件的</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w:t>
      </w:r>
    </w:p>
    <w:p w14:paraId="4547EB6B">
      <w:pPr>
        <w:pStyle w:val="8"/>
        <w:keepNext w:val="0"/>
        <w:keepLines w:val="0"/>
        <w:pageBreakBefore w:val="0"/>
        <w:widowControl w:val="0"/>
        <w:kinsoku/>
        <w:wordWrap/>
        <w:overflowPunct/>
        <w:topLinePunct w:val="0"/>
        <w:autoSpaceDE/>
        <w:autoSpaceDN/>
        <w:bidi w:val="0"/>
        <w:spacing w:line="400" w:lineRule="exact"/>
        <w:ind w:left="49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（3）公布</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名称、</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报价等内容，并记录在案；</w:t>
      </w:r>
    </w:p>
    <w:p w14:paraId="6CB68B7E">
      <w:pPr>
        <w:pStyle w:val="8"/>
        <w:keepNext w:val="0"/>
        <w:keepLines w:val="0"/>
        <w:pageBreakBefore w:val="0"/>
        <w:widowControl w:val="0"/>
        <w:kinsoku/>
        <w:wordWrap/>
        <w:overflowPunct/>
        <w:topLinePunct w:val="0"/>
        <w:autoSpaceDE/>
        <w:autoSpaceDN/>
        <w:bidi w:val="0"/>
        <w:spacing w:line="400" w:lineRule="exact"/>
        <w:ind w:left="49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val="en-US" w:eastAsia="zh-CN"/>
        </w:rPr>
        <w:t>4</w:t>
      </w:r>
      <w:r>
        <w:rPr>
          <w:rFonts w:hint="eastAsia" w:ascii="仿宋" w:hAnsi="仿宋" w:eastAsia="仿宋" w:cs="仿宋"/>
          <w:color w:val="auto"/>
          <w:spacing w:val="-1"/>
          <w:sz w:val="28"/>
          <w:szCs w:val="28"/>
          <w:highlight w:val="none"/>
        </w:rPr>
        <w:t>）记录人等有关人员在开标记录上签字确认；</w:t>
      </w:r>
    </w:p>
    <w:p w14:paraId="2DA670F4">
      <w:pPr>
        <w:pStyle w:val="8"/>
        <w:keepNext w:val="0"/>
        <w:keepLines w:val="0"/>
        <w:pageBreakBefore w:val="0"/>
        <w:widowControl w:val="0"/>
        <w:kinsoku/>
        <w:wordWrap/>
        <w:overflowPunct/>
        <w:topLinePunct w:val="0"/>
        <w:autoSpaceDE/>
        <w:autoSpaceDN/>
        <w:bidi w:val="0"/>
        <w:spacing w:line="400" w:lineRule="exact"/>
        <w:ind w:left="49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w:t>
      </w:r>
      <w:r>
        <w:rPr>
          <w:rFonts w:hint="eastAsia" w:ascii="仿宋" w:hAnsi="仿宋" w:eastAsia="仿宋" w:cs="仿宋"/>
          <w:color w:val="auto"/>
          <w:spacing w:val="-3"/>
          <w:sz w:val="28"/>
          <w:szCs w:val="28"/>
          <w:highlight w:val="none"/>
          <w:lang w:val="en-US" w:eastAsia="zh-CN"/>
        </w:rPr>
        <w:t>5</w:t>
      </w:r>
      <w:r>
        <w:rPr>
          <w:rFonts w:hint="eastAsia" w:ascii="仿宋" w:hAnsi="仿宋" w:eastAsia="仿宋" w:cs="仿宋"/>
          <w:color w:val="auto"/>
          <w:spacing w:val="-3"/>
          <w:sz w:val="28"/>
          <w:szCs w:val="28"/>
          <w:highlight w:val="none"/>
        </w:rPr>
        <w:t>）开标结束。</w:t>
      </w:r>
    </w:p>
    <w:p w14:paraId="248199CC">
      <w:pPr>
        <w:pStyle w:val="8"/>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 xml:space="preserve">   19</w:t>
      </w:r>
      <w:r>
        <w:rPr>
          <w:rFonts w:hint="eastAsia" w:ascii="仿宋" w:hAnsi="仿宋" w:eastAsia="仿宋" w:cs="仿宋"/>
          <w:color w:val="auto"/>
          <w:spacing w:val="-1"/>
          <w:sz w:val="28"/>
          <w:szCs w:val="28"/>
          <w:highlight w:val="none"/>
        </w:rPr>
        <w:t>.3</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对开标有异议的，应当在开标时提出，</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当场作出答复，并制作</w:t>
      </w:r>
      <w:r>
        <w:rPr>
          <w:rFonts w:hint="eastAsia" w:ascii="仿宋" w:hAnsi="仿宋" w:eastAsia="仿宋" w:cs="仿宋"/>
          <w:color w:val="auto"/>
          <w:spacing w:val="-3"/>
          <w:sz w:val="28"/>
          <w:szCs w:val="28"/>
          <w:highlight w:val="none"/>
        </w:rPr>
        <w:t>记录。</w:t>
      </w:r>
    </w:p>
    <w:p w14:paraId="65D189B3">
      <w:pPr>
        <w:pStyle w:val="8"/>
        <w:keepNext w:val="0"/>
        <w:keepLines w:val="0"/>
        <w:pageBreakBefore w:val="0"/>
        <w:widowControl w:val="0"/>
        <w:kinsoku/>
        <w:wordWrap/>
        <w:overflowPunct/>
        <w:topLinePunct w:val="0"/>
        <w:autoSpaceDE/>
        <w:autoSpaceDN/>
        <w:bidi w:val="0"/>
        <w:spacing w:line="400" w:lineRule="exact"/>
        <w:ind w:left="2"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19</w:t>
      </w:r>
      <w:r>
        <w:rPr>
          <w:rFonts w:hint="eastAsia" w:ascii="仿宋" w:hAnsi="仿宋" w:eastAsia="仿宋" w:cs="仿宋"/>
          <w:color w:val="auto"/>
          <w:spacing w:val="-2"/>
          <w:sz w:val="28"/>
          <w:szCs w:val="28"/>
          <w:highlight w:val="none"/>
        </w:rPr>
        <w:t>.4评标委员会按照第四章“评标办法”规定的方法、评审因素、标准和程序对</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文件进行评审。</w:t>
      </w:r>
    </w:p>
    <w:p w14:paraId="197061AC">
      <w:pPr>
        <w:pStyle w:val="8"/>
        <w:keepNext w:val="0"/>
        <w:keepLines w:val="0"/>
        <w:pageBreakBefore w:val="0"/>
        <w:widowControl w:val="0"/>
        <w:kinsoku/>
        <w:wordWrap/>
        <w:overflowPunct/>
        <w:topLinePunct w:val="0"/>
        <w:autoSpaceDE/>
        <w:autoSpaceDN/>
        <w:bidi w:val="0"/>
        <w:spacing w:line="400" w:lineRule="exact"/>
        <w:ind w:left="1" w:firstLine="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19</w:t>
      </w:r>
      <w:r>
        <w:rPr>
          <w:rFonts w:hint="eastAsia" w:ascii="仿宋" w:hAnsi="仿宋" w:eastAsia="仿宋" w:cs="仿宋"/>
          <w:color w:val="auto"/>
          <w:spacing w:val="-2"/>
          <w:sz w:val="28"/>
          <w:szCs w:val="28"/>
          <w:highlight w:val="none"/>
        </w:rPr>
        <w:t>.5无论何种原因，即使</w:t>
      </w:r>
      <w:r>
        <w:rPr>
          <w:rFonts w:hint="eastAsia" w:ascii="仿宋" w:hAnsi="仿宋" w:eastAsia="仿宋" w:cs="仿宋"/>
          <w:color w:val="auto"/>
          <w:spacing w:val="-2"/>
          <w:sz w:val="28"/>
          <w:szCs w:val="28"/>
          <w:highlight w:val="none"/>
          <w:lang w:eastAsia="zh-CN"/>
        </w:rPr>
        <w:t>各供应商响应</w:t>
      </w:r>
      <w:r>
        <w:rPr>
          <w:rFonts w:hint="eastAsia" w:ascii="仿宋" w:hAnsi="仿宋" w:eastAsia="仿宋" w:cs="仿宋"/>
          <w:color w:val="auto"/>
          <w:spacing w:val="-2"/>
          <w:sz w:val="28"/>
          <w:szCs w:val="28"/>
          <w:highlight w:val="none"/>
        </w:rPr>
        <w:t>时携带了证书材料的原件，但</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文件中未</w:t>
      </w:r>
      <w:r>
        <w:rPr>
          <w:rFonts w:hint="eastAsia" w:ascii="仿宋" w:hAnsi="仿宋" w:eastAsia="仿宋" w:cs="仿宋"/>
          <w:color w:val="auto"/>
          <w:sz w:val="28"/>
          <w:szCs w:val="28"/>
          <w:highlight w:val="none"/>
        </w:rPr>
        <w:t>提供与之内容完全一致的扫描件或影印件的，</w:t>
      </w:r>
      <w:r>
        <w:rPr>
          <w:rFonts w:hint="eastAsia" w:ascii="仿宋" w:hAnsi="仿宋" w:eastAsia="仿宋" w:cs="仿宋"/>
          <w:color w:val="auto"/>
          <w:spacing w:val="-1"/>
          <w:sz w:val="28"/>
          <w:szCs w:val="28"/>
          <w:highlight w:val="none"/>
        </w:rPr>
        <w:t>评标委员会视同其未提供。</w:t>
      </w:r>
    </w:p>
    <w:p w14:paraId="33D79780">
      <w:pPr>
        <w:pStyle w:val="8"/>
        <w:keepNext w:val="0"/>
        <w:keepLines w:val="0"/>
        <w:pageBreakBefore w:val="0"/>
        <w:widowControl w:val="0"/>
        <w:kinsoku/>
        <w:wordWrap/>
        <w:overflowPunct/>
        <w:topLinePunct w:val="0"/>
        <w:autoSpaceDE/>
        <w:autoSpaceDN/>
        <w:bidi w:val="0"/>
        <w:spacing w:line="400" w:lineRule="exact"/>
        <w:ind w:left="1" w:right="51" w:firstLine="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19</w:t>
      </w:r>
      <w:r>
        <w:rPr>
          <w:rFonts w:hint="eastAsia" w:ascii="仿宋" w:hAnsi="仿宋" w:eastAsia="仿宋" w:cs="仿宋"/>
          <w:color w:val="auto"/>
          <w:spacing w:val="-2"/>
          <w:sz w:val="28"/>
          <w:szCs w:val="28"/>
          <w:highlight w:val="none"/>
        </w:rPr>
        <w:t>.6评标委员会决定</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文件的响应性及符合性只根据</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文件本身的内容的</w:t>
      </w:r>
      <w:r>
        <w:rPr>
          <w:rFonts w:hint="eastAsia" w:ascii="仿宋" w:hAnsi="仿宋" w:eastAsia="仿宋" w:cs="仿宋"/>
          <w:color w:val="auto"/>
          <w:spacing w:val="-3"/>
          <w:sz w:val="28"/>
          <w:szCs w:val="28"/>
          <w:highlight w:val="none"/>
        </w:rPr>
        <w:t>资料，</w:t>
      </w:r>
      <w:r>
        <w:rPr>
          <w:rFonts w:hint="eastAsia" w:ascii="仿宋" w:hAnsi="仿宋" w:eastAsia="仿宋" w:cs="仿宋"/>
          <w:color w:val="auto"/>
          <w:spacing w:val="-1"/>
          <w:sz w:val="28"/>
          <w:szCs w:val="28"/>
          <w:highlight w:val="none"/>
        </w:rPr>
        <w:t>而不寻求其他外部证据。</w:t>
      </w:r>
    </w:p>
    <w:p w14:paraId="477EACAB">
      <w:pPr>
        <w:pStyle w:val="8"/>
        <w:keepNext w:val="0"/>
        <w:keepLines w:val="0"/>
        <w:pageBreakBefore w:val="0"/>
        <w:widowControl w:val="0"/>
        <w:kinsoku/>
        <w:wordWrap/>
        <w:overflowPunct/>
        <w:topLinePunct w:val="0"/>
        <w:autoSpaceDE/>
        <w:autoSpaceDN/>
        <w:bidi w:val="0"/>
        <w:spacing w:line="400" w:lineRule="exact"/>
        <w:ind w:left="471"/>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2</w:t>
      </w:r>
      <w:r>
        <w:rPr>
          <w:rFonts w:hint="eastAsia" w:ascii="仿宋" w:hAnsi="仿宋" w:eastAsia="仿宋" w:cs="仿宋"/>
          <w:b/>
          <w:bCs/>
          <w:color w:val="auto"/>
          <w:spacing w:val="-3"/>
          <w:sz w:val="28"/>
          <w:szCs w:val="28"/>
          <w:highlight w:val="none"/>
          <w:lang w:val="en-US" w:eastAsia="zh-CN"/>
        </w:rPr>
        <w:t>0</w:t>
      </w:r>
      <w:r>
        <w:rPr>
          <w:rFonts w:hint="eastAsia" w:ascii="仿宋" w:hAnsi="仿宋" w:eastAsia="仿宋" w:cs="仿宋"/>
          <w:b/>
          <w:bCs/>
          <w:color w:val="auto"/>
          <w:spacing w:val="-3"/>
          <w:sz w:val="28"/>
          <w:szCs w:val="28"/>
          <w:highlight w:val="none"/>
        </w:rPr>
        <w:t>.</w:t>
      </w:r>
      <w:r>
        <w:rPr>
          <w:rFonts w:hint="eastAsia" w:ascii="仿宋" w:hAnsi="仿宋" w:eastAsia="仿宋" w:cs="仿宋"/>
          <w:b/>
          <w:bCs/>
          <w:color w:val="auto"/>
          <w:spacing w:val="-3"/>
          <w:sz w:val="28"/>
          <w:szCs w:val="28"/>
          <w:highlight w:val="none"/>
          <w:lang w:eastAsia="zh-CN"/>
        </w:rPr>
        <w:t>响应</w:t>
      </w:r>
      <w:r>
        <w:rPr>
          <w:rFonts w:hint="eastAsia" w:ascii="仿宋" w:hAnsi="仿宋" w:eastAsia="仿宋" w:cs="仿宋"/>
          <w:b/>
          <w:bCs/>
          <w:color w:val="auto"/>
          <w:spacing w:val="-3"/>
          <w:sz w:val="28"/>
          <w:szCs w:val="28"/>
          <w:highlight w:val="none"/>
        </w:rPr>
        <w:t>文件的澄清、说明或补正</w:t>
      </w:r>
    </w:p>
    <w:p w14:paraId="5FEF0D20">
      <w:pPr>
        <w:pStyle w:val="8"/>
        <w:keepNext w:val="0"/>
        <w:keepLines w:val="0"/>
        <w:pageBreakBefore w:val="0"/>
        <w:widowControl w:val="0"/>
        <w:kinsoku/>
        <w:wordWrap/>
        <w:overflowPunct/>
        <w:topLinePunct w:val="0"/>
        <w:autoSpaceDE/>
        <w:autoSpaceDN/>
        <w:bidi w:val="0"/>
        <w:spacing w:line="400" w:lineRule="exact"/>
        <w:ind w:left="3"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.1为有助于</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的审查、评价和比较，评标委员会可以书面方式要求</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对</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文件中含义不明确、对同类问题表述不一致或者有明显文字和计算错误的内容作必要的澄清、说明或补正。澄清、说明或补正应以书面方式进行并不得超出</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文件的范围或</w:t>
      </w:r>
      <w:r>
        <w:rPr>
          <w:rFonts w:hint="eastAsia" w:ascii="仿宋" w:hAnsi="仿宋" w:eastAsia="仿宋" w:cs="仿宋"/>
          <w:color w:val="auto"/>
          <w:spacing w:val="-1"/>
          <w:sz w:val="28"/>
          <w:szCs w:val="28"/>
          <w:highlight w:val="none"/>
        </w:rPr>
        <w:t>改变</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文件的实质性内容。</w:t>
      </w:r>
    </w:p>
    <w:p w14:paraId="343D7A1F">
      <w:pPr>
        <w:pStyle w:val="8"/>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22.2</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文件报价出现前后不一致的，除</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文件另有规定外，按</w:t>
      </w:r>
      <w:r>
        <w:rPr>
          <w:rFonts w:hint="eastAsia" w:ascii="仿宋" w:hAnsi="仿宋" w:eastAsia="仿宋" w:cs="仿宋"/>
          <w:color w:val="auto"/>
          <w:spacing w:val="-3"/>
          <w:sz w:val="28"/>
          <w:szCs w:val="28"/>
          <w:highlight w:val="none"/>
        </w:rPr>
        <w:t>照下列顺序修正：</w:t>
      </w:r>
    </w:p>
    <w:p w14:paraId="3E5615D3">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.2.1开标一览表内容与</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文件相应内容不一致的，以开标一览表为准；</w:t>
      </w:r>
    </w:p>
    <w:p w14:paraId="7B5EB2E9">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.2.2大写金额和小写金额不一致的，以大写金额为准；</w:t>
      </w:r>
    </w:p>
    <w:p w14:paraId="44B62883">
      <w:pPr>
        <w:pStyle w:val="8"/>
        <w:keepNext w:val="0"/>
        <w:keepLines w:val="0"/>
        <w:pageBreakBefore w:val="0"/>
        <w:widowControl w:val="0"/>
        <w:kinsoku/>
        <w:wordWrap/>
        <w:overflowPunct/>
        <w:topLinePunct w:val="0"/>
        <w:autoSpaceDE/>
        <w:autoSpaceDN/>
        <w:bidi w:val="0"/>
        <w:spacing w:line="400" w:lineRule="exact"/>
        <w:ind w:left="9" w:firstLine="47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.2.3单价金额小数点或者百分比有明显错位的，应以开标一览表的总价为准，并修</w:t>
      </w:r>
      <w:r>
        <w:rPr>
          <w:rFonts w:hint="eastAsia" w:ascii="仿宋" w:hAnsi="仿宋" w:eastAsia="仿宋" w:cs="仿宋"/>
          <w:color w:val="auto"/>
          <w:spacing w:val="-5"/>
          <w:sz w:val="28"/>
          <w:szCs w:val="28"/>
          <w:highlight w:val="none"/>
        </w:rPr>
        <w:t>改单价；</w:t>
      </w:r>
    </w:p>
    <w:p w14:paraId="2481F530">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.2.4总价金额与按单价汇总金额不一致的，以单价金额计算结果为准。</w:t>
      </w:r>
    </w:p>
    <w:p w14:paraId="5805AB1A">
      <w:pPr>
        <w:pStyle w:val="8"/>
        <w:keepNext w:val="0"/>
        <w:keepLines w:val="0"/>
        <w:pageBreakBefore w:val="0"/>
        <w:widowControl w:val="0"/>
        <w:kinsoku/>
        <w:wordWrap/>
        <w:overflowPunct/>
        <w:topLinePunct w:val="0"/>
        <w:autoSpaceDE/>
        <w:autoSpaceDN/>
        <w:bidi w:val="0"/>
        <w:spacing w:line="400" w:lineRule="exact"/>
        <w:ind w:left="6" w:firstLine="477"/>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0</w:t>
      </w:r>
      <w:r>
        <w:rPr>
          <w:rFonts w:hint="eastAsia" w:ascii="仿宋" w:hAnsi="仿宋" w:eastAsia="仿宋" w:cs="仿宋"/>
          <w:color w:val="auto"/>
          <w:spacing w:val="-1"/>
          <w:sz w:val="28"/>
          <w:szCs w:val="28"/>
          <w:highlight w:val="none"/>
        </w:rPr>
        <w:t>.3修正后的报价经</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确认后产生约束力，</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不确认的，其</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无</w:t>
      </w:r>
      <w:r>
        <w:rPr>
          <w:rFonts w:hint="eastAsia" w:ascii="仿宋" w:hAnsi="仿宋" w:eastAsia="仿宋" w:cs="仿宋"/>
          <w:color w:val="auto"/>
          <w:spacing w:val="-8"/>
          <w:sz w:val="28"/>
          <w:szCs w:val="28"/>
          <w:highlight w:val="none"/>
        </w:rPr>
        <w:t>效。</w:t>
      </w:r>
    </w:p>
    <w:p w14:paraId="6072914D">
      <w:pPr>
        <w:pStyle w:val="8"/>
        <w:keepNext w:val="0"/>
        <w:keepLines w:val="0"/>
        <w:pageBreakBefore w:val="0"/>
        <w:widowControl w:val="0"/>
        <w:kinsoku/>
        <w:wordWrap/>
        <w:overflowPunct/>
        <w:topLinePunct w:val="0"/>
        <w:autoSpaceDE/>
        <w:autoSpaceDN/>
        <w:bidi w:val="0"/>
        <w:spacing w:line="400" w:lineRule="exact"/>
        <w:ind w:left="471"/>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3"/>
          <w:sz w:val="28"/>
          <w:szCs w:val="28"/>
          <w:highlight w:val="none"/>
        </w:rPr>
        <w:t>2</w:t>
      </w:r>
      <w:r>
        <w:rPr>
          <w:rFonts w:hint="eastAsia" w:ascii="仿宋" w:hAnsi="仿宋" w:eastAsia="仿宋" w:cs="仿宋"/>
          <w:b/>
          <w:bCs/>
          <w:color w:val="auto"/>
          <w:spacing w:val="-3"/>
          <w:sz w:val="28"/>
          <w:szCs w:val="28"/>
          <w:highlight w:val="none"/>
          <w:lang w:val="en-US" w:eastAsia="zh-CN"/>
        </w:rPr>
        <w:t>1</w:t>
      </w:r>
      <w:r>
        <w:rPr>
          <w:rFonts w:hint="eastAsia" w:ascii="仿宋" w:hAnsi="仿宋" w:eastAsia="仿宋" w:cs="仿宋"/>
          <w:b/>
          <w:bCs/>
          <w:color w:val="auto"/>
          <w:spacing w:val="-3"/>
          <w:sz w:val="28"/>
          <w:szCs w:val="28"/>
          <w:highlight w:val="none"/>
        </w:rPr>
        <w:t>.废标处理及</w:t>
      </w:r>
      <w:r>
        <w:rPr>
          <w:rFonts w:hint="eastAsia" w:ascii="仿宋" w:hAnsi="仿宋" w:eastAsia="仿宋" w:cs="仿宋"/>
          <w:b/>
          <w:bCs/>
          <w:color w:val="auto"/>
          <w:spacing w:val="-3"/>
          <w:sz w:val="28"/>
          <w:szCs w:val="28"/>
          <w:highlight w:val="none"/>
          <w:lang w:eastAsia="zh-CN"/>
        </w:rPr>
        <w:t>响应</w:t>
      </w:r>
      <w:r>
        <w:rPr>
          <w:rFonts w:hint="eastAsia" w:ascii="仿宋" w:hAnsi="仿宋" w:eastAsia="仿宋" w:cs="仿宋"/>
          <w:b/>
          <w:bCs/>
          <w:color w:val="auto"/>
          <w:spacing w:val="-3"/>
          <w:sz w:val="28"/>
          <w:szCs w:val="28"/>
          <w:highlight w:val="none"/>
        </w:rPr>
        <w:t>无效情形</w:t>
      </w:r>
    </w:p>
    <w:p w14:paraId="5073C92B">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.1在</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中，出现下列情形之一的，应对项目予以废标：</w:t>
      </w:r>
    </w:p>
    <w:p w14:paraId="131ACA18">
      <w:pPr>
        <w:pStyle w:val="8"/>
        <w:keepNext w:val="0"/>
        <w:keepLines w:val="0"/>
        <w:pageBreakBefore w:val="0"/>
        <w:widowControl w:val="0"/>
        <w:kinsoku/>
        <w:wordWrap/>
        <w:overflowPunct/>
        <w:topLinePunct w:val="0"/>
        <w:autoSpaceDE/>
        <w:autoSpaceDN/>
        <w:bidi w:val="0"/>
        <w:spacing w:line="400" w:lineRule="exact"/>
        <w:ind w:left="2"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.1.1符合专业条件的</w:t>
      </w:r>
      <w:r>
        <w:rPr>
          <w:rFonts w:hint="eastAsia" w:ascii="仿宋" w:hAnsi="仿宋" w:eastAsia="仿宋" w:cs="仿宋"/>
          <w:color w:val="auto"/>
          <w:spacing w:val="-1"/>
          <w:sz w:val="28"/>
          <w:szCs w:val="28"/>
          <w:highlight w:val="none"/>
          <w:lang w:eastAsia="zh-CN"/>
        </w:rPr>
        <w:t>各供应商</w:t>
      </w:r>
      <w:r>
        <w:rPr>
          <w:rFonts w:hint="eastAsia" w:ascii="仿宋" w:hAnsi="仿宋" w:eastAsia="仿宋" w:cs="仿宋"/>
          <w:color w:val="auto"/>
          <w:spacing w:val="-1"/>
          <w:sz w:val="28"/>
          <w:szCs w:val="28"/>
          <w:highlight w:val="none"/>
        </w:rPr>
        <w:t>或对</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文件作实质响应的</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不足</w:t>
      </w:r>
      <w:r>
        <w:rPr>
          <w:rFonts w:hint="eastAsia" w:ascii="仿宋" w:hAnsi="仿宋" w:eastAsia="仿宋" w:cs="仿宋"/>
          <w:color w:val="auto"/>
          <w:spacing w:val="-1"/>
          <w:sz w:val="28"/>
          <w:szCs w:val="28"/>
          <w:highlight w:val="none"/>
          <w:lang w:val="en-US" w:eastAsia="zh-CN"/>
        </w:rPr>
        <w:t>3</w:t>
      </w:r>
      <w:r>
        <w:rPr>
          <w:rFonts w:hint="eastAsia" w:ascii="仿宋" w:hAnsi="仿宋" w:eastAsia="仿宋" w:cs="仿宋"/>
          <w:color w:val="auto"/>
          <w:spacing w:val="-1"/>
          <w:sz w:val="28"/>
          <w:szCs w:val="28"/>
          <w:highlight w:val="none"/>
        </w:rPr>
        <w:t>家</w:t>
      </w:r>
      <w:r>
        <w:rPr>
          <w:rFonts w:hint="eastAsia" w:ascii="仿宋" w:hAnsi="仿宋" w:eastAsia="仿宋" w:cs="仿宋"/>
          <w:color w:val="auto"/>
          <w:spacing w:val="-4"/>
          <w:sz w:val="28"/>
          <w:szCs w:val="28"/>
          <w:highlight w:val="none"/>
        </w:rPr>
        <w:t>的；</w:t>
      </w:r>
    </w:p>
    <w:p w14:paraId="5B09244C">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2"/>
          <w:sz w:val="28"/>
          <w:szCs w:val="28"/>
          <w:highlight w:val="none"/>
        </w:rPr>
        <w:t>.1.2出现影响</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公正的违法、违规行为的；</w:t>
      </w:r>
    </w:p>
    <w:p w14:paraId="5B983982">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3"/>
          <w:sz w:val="28"/>
          <w:szCs w:val="28"/>
          <w:highlight w:val="none"/>
        </w:rPr>
        <w:t>.1.3因重大变故，</w:t>
      </w:r>
      <w:r>
        <w:rPr>
          <w:rFonts w:hint="eastAsia" w:ascii="仿宋" w:hAnsi="仿宋" w:eastAsia="仿宋" w:cs="仿宋"/>
          <w:color w:val="auto"/>
          <w:spacing w:val="-3"/>
          <w:sz w:val="28"/>
          <w:szCs w:val="28"/>
          <w:highlight w:val="none"/>
          <w:lang w:eastAsia="zh-CN"/>
        </w:rPr>
        <w:t>遴选</w:t>
      </w:r>
      <w:r>
        <w:rPr>
          <w:rFonts w:hint="eastAsia" w:ascii="仿宋" w:hAnsi="仿宋" w:eastAsia="仿宋" w:cs="仿宋"/>
          <w:color w:val="auto"/>
          <w:spacing w:val="-3"/>
          <w:sz w:val="28"/>
          <w:szCs w:val="28"/>
          <w:highlight w:val="none"/>
        </w:rPr>
        <w:t>任务取消的。</w:t>
      </w:r>
    </w:p>
    <w:p w14:paraId="1023AB0A">
      <w:pPr>
        <w:pStyle w:val="8"/>
        <w:keepNext w:val="0"/>
        <w:keepLines w:val="0"/>
        <w:pageBreakBefore w:val="0"/>
        <w:widowControl w:val="0"/>
        <w:kinsoku/>
        <w:wordWrap/>
        <w:overflowPunct/>
        <w:topLinePunct w:val="0"/>
        <w:autoSpaceDE/>
        <w:autoSpaceDN/>
        <w:bidi w:val="0"/>
        <w:spacing w:line="400" w:lineRule="exact"/>
        <w:ind w:left="47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废标后，</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会把废标理由通知所有</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w:t>
      </w:r>
    </w:p>
    <w:p w14:paraId="60F10107">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参与遴选各</w:t>
      </w:r>
      <w:r>
        <w:rPr>
          <w:rFonts w:hint="eastAsia" w:ascii="仿宋" w:hAnsi="仿宋" w:eastAsia="仿宋" w:cs="仿宋"/>
          <w:color w:val="auto"/>
          <w:spacing w:val="1"/>
          <w:sz w:val="28"/>
          <w:szCs w:val="28"/>
          <w:highlight w:val="none"/>
          <w:lang w:eastAsia="zh-CN"/>
        </w:rPr>
        <w:t>供应商</w:t>
      </w:r>
      <w:r>
        <w:rPr>
          <w:rFonts w:hint="eastAsia" w:ascii="仿宋" w:hAnsi="仿宋" w:eastAsia="仿宋" w:cs="仿宋"/>
          <w:color w:val="auto"/>
          <w:spacing w:val="1"/>
          <w:sz w:val="28"/>
          <w:szCs w:val="28"/>
          <w:highlight w:val="none"/>
        </w:rPr>
        <w:t>存在下列情况之一的，</w:t>
      </w:r>
      <w:r>
        <w:rPr>
          <w:rFonts w:hint="eastAsia" w:ascii="仿宋" w:hAnsi="仿宋" w:eastAsia="仿宋" w:cs="仿宋"/>
          <w:color w:val="auto"/>
          <w:sz w:val="28"/>
          <w:szCs w:val="28"/>
          <w:highlight w:val="none"/>
          <w:lang w:eastAsia="zh-CN"/>
        </w:rPr>
        <w:t>响应</w:t>
      </w:r>
      <w:r>
        <w:rPr>
          <w:rFonts w:hint="eastAsia" w:ascii="仿宋" w:hAnsi="仿宋" w:eastAsia="仿宋" w:cs="仿宋"/>
          <w:color w:val="auto"/>
          <w:sz w:val="28"/>
          <w:szCs w:val="28"/>
          <w:highlight w:val="none"/>
        </w:rPr>
        <w:t>无效:</w:t>
      </w:r>
    </w:p>
    <w:p w14:paraId="1AB5370D">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.2.1</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文件未按</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文件要求签署、盖章的；</w:t>
      </w:r>
    </w:p>
    <w:p w14:paraId="59B7B1A9">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.2.2不具备</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文件中规定的资格</w:t>
      </w:r>
      <w:r>
        <w:rPr>
          <w:rFonts w:hint="eastAsia" w:ascii="仿宋" w:hAnsi="仿宋" w:eastAsia="仿宋" w:cs="仿宋"/>
          <w:color w:val="auto"/>
          <w:spacing w:val="-2"/>
          <w:sz w:val="28"/>
          <w:szCs w:val="28"/>
          <w:highlight w:val="none"/>
        </w:rPr>
        <w:t>要求的；</w:t>
      </w:r>
    </w:p>
    <w:p w14:paraId="13466087">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.2.3报价低于</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文件中规定的最低</w:t>
      </w:r>
      <w:r>
        <w:rPr>
          <w:rFonts w:hint="eastAsia" w:ascii="仿宋" w:hAnsi="仿宋" w:eastAsia="仿宋" w:cs="仿宋"/>
          <w:color w:val="auto"/>
          <w:spacing w:val="-1"/>
          <w:sz w:val="28"/>
          <w:szCs w:val="28"/>
          <w:highlight w:val="none"/>
          <w:lang w:val="en-US" w:eastAsia="zh-CN"/>
        </w:rPr>
        <w:t>金额</w:t>
      </w:r>
      <w:r>
        <w:rPr>
          <w:rFonts w:hint="eastAsia" w:ascii="仿宋" w:hAnsi="仿宋" w:eastAsia="仿宋" w:cs="仿宋"/>
          <w:color w:val="auto"/>
          <w:spacing w:val="-1"/>
          <w:sz w:val="28"/>
          <w:szCs w:val="28"/>
          <w:highlight w:val="none"/>
        </w:rPr>
        <w:t>的；</w:t>
      </w:r>
    </w:p>
    <w:p w14:paraId="1A9BAA40">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.2.4</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文件含有</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不能接受的附加条件的；</w:t>
      </w:r>
    </w:p>
    <w:p w14:paraId="4294B126">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1</w:t>
      </w:r>
      <w:r>
        <w:rPr>
          <w:rFonts w:hint="eastAsia" w:ascii="仿宋" w:hAnsi="仿宋" w:eastAsia="仿宋" w:cs="仿宋"/>
          <w:color w:val="auto"/>
          <w:spacing w:val="-1"/>
          <w:sz w:val="28"/>
          <w:szCs w:val="28"/>
          <w:highlight w:val="none"/>
        </w:rPr>
        <w:t>.2.5法律、法规和</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文件规定的其他无效情形。</w:t>
      </w:r>
    </w:p>
    <w:p w14:paraId="65E931C8">
      <w:pPr>
        <w:pStyle w:val="8"/>
        <w:keepNext w:val="0"/>
        <w:keepLines w:val="0"/>
        <w:pageBreakBefore w:val="0"/>
        <w:widowControl w:val="0"/>
        <w:kinsoku/>
        <w:wordWrap/>
        <w:overflowPunct/>
        <w:topLinePunct w:val="0"/>
        <w:autoSpaceDE/>
        <w:autoSpaceDN/>
        <w:bidi w:val="0"/>
        <w:spacing w:line="400" w:lineRule="exact"/>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pacing w:val="-2"/>
          <w:sz w:val="28"/>
          <w:szCs w:val="28"/>
          <w:highlight w:val="none"/>
        </w:rPr>
        <w:t>六、定标与签订合同</w:t>
      </w:r>
    </w:p>
    <w:p w14:paraId="66415F30">
      <w:pPr>
        <w:pStyle w:val="8"/>
        <w:keepNext w:val="0"/>
        <w:keepLines w:val="0"/>
        <w:pageBreakBefore w:val="0"/>
        <w:widowControl w:val="0"/>
        <w:kinsoku/>
        <w:wordWrap/>
        <w:overflowPunct/>
        <w:topLinePunct w:val="0"/>
        <w:autoSpaceDE/>
        <w:autoSpaceDN/>
        <w:bidi w:val="0"/>
        <w:spacing w:line="400" w:lineRule="exact"/>
        <w:ind w:left="469"/>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5"/>
          <w:sz w:val="28"/>
          <w:szCs w:val="28"/>
          <w:highlight w:val="none"/>
        </w:rPr>
        <w:t>2</w:t>
      </w:r>
      <w:r>
        <w:rPr>
          <w:rFonts w:hint="eastAsia" w:ascii="仿宋" w:hAnsi="仿宋" w:eastAsia="仿宋" w:cs="仿宋"/>
          <w:b/>
          <w:bCs/>
          <w:color w:val="auto"/>
          <w:spacing w:val="-5"/>
          <w:sz w:val="28"/>
          <w:szCs w:val="28"/>
          <w:highlight w:val="none"/>
          <w:lang w:val="en-US" w:eastAsia="zh-CN"/>
        </w:rPr>
        <w:t>2</w:t>
      </w:r>
      <w:r>
        <w:rPr>
          <w:rFonts w:hint="eastAsia" w:ascii="仿宋" w:hAnsi="仿宋" w:eastAsia="仿宋" w:cs="仿宋"/>
          <w:b/>
          <w:bCs/>
          <w:color w:val="auto"/>
          <w:spacing w:val="-5"/>
          <w:sz w:val="28"/>
          <w:szCs w:val="28"/>
          <w:highlight w:val="none"/>
        </w:rPr>
        <w:t>.定标</w:t>
      </w:r>
    </w:p>
    <w:p w14:paraId="7396D5AF">
      <w:pPr>
        <w:pStyle w:val="8"/>
        <w:keepNext w:val="0"/>
        <w:keepLines w:val="0"/>
        <w:pageBreakBefore w:val="0"/>
        <w:widowControl w:val="0"/>
        <w:kinsoku/>
        <w:wordWrap/>
        <w:overflowPunct/>
        <w:topLinePunct w:val="0"/>
        <w:autoSpaceDE/>
        <w:autoSpaceDN/>
        <w:bidi w:val="0"/>
        <w:spacing w:line="400" w:lineRule="exact"/>
        <w:ind w:left="5" w:firstLine="476"/>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val="en-US" w:eastAsia="zh-CN"/>
        </w:rPr>
        <w:t>经</w:t>
      </w:r>
      <w:r>
        <w:rPr>
          <w:rFonts w:hint="eastAsia" w:ascii="仿宋" w:hAnsi="仿宋" w:eastAsia="仿宋" w:cs="仿宋"/>
          <w:color w:val="auto"/>
          <w:spacing w:val="-1"/>
          <w:sz w:val="28"/>
          <w:szCs w:val="28"/>
          <w:highlight w:val="none"/>
        </w:rPr>
        <w:t>有效性评审后，评标委员会应当按</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文件规定的标准和方法提出独立评审</w:t>
      </w:r>
      <w:r>
        <w:rPr>
          <w:rFonts w:hint="eastAsia" w:ascii="仿宋" w:hAnsi="仿宋" w:eastAsia="仿宋" w:cs="仿宋"/>
          <w:color w:val="auto"/>
          <w:spacing w:val="-2"/>
          <w:sz w:val="28"/>
          <w:szCs w:val="28"/>
          <w:highlight w:val="none"/>
        </w:rPr>
        <w:t>意见，推荐中标候选人。</w:t>
      </w:r>
    </w:p>
    <w:p w14:paraId="299584D1">
      <w:pPr>
        <w:pStyle w:val="8"/>
        <w:keepNext w:val="0"/>
        <w:keepLines w:val="0"/>
        <w:pageBreakBefore w:val="0"/>
        <w:widowControl w:val="0"/>
        <w:kinsoku/>
        <w:wordWrap/>
        <w:overflowPunct/>
        <w:topLinePunct w:val="0"/>
        <w:autoSpaceDE/>
        <w:autoSpaceDN/>
        <w:bidi w:val="0"/>
        <w:spacing w:line="400" w:lineRule="exact"/>
        <w:ind w:firstLine="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放弃中标、因不可抗力不能履行合同</w:t>
      </w:r>
      <w:r>
        <w:rPr>
          <w:rFonts w:hint="eastAsia" w:ascii="仿宋" w:hAnsi="仿宋" w:eastAsia="仿宋" w:cs="仿宋"/>
          <w:color w:val="auto"/>
          <w:spacing w:val="1"/>
          <w:sz w:val="28"/>
          <w:szCs w:val="28"/>
          <w:highlight w:val="none"/>
        </w:rPr>
        <w:t>，或者被查实存在影响中标结果的违法行为等情形，不符合中标条件的，</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可以按照评标委员会提出的中标候选人名单排序依次确定其他中标候选人为</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，也可以重新</w:t>
      </w:r>
      <w:r>
        <w:rPr>
          <w:rFonts w:hint="eastAsia" w:ascii="仿宋" w:hAnsi="仿宋" w:eastAsia="仿宋" w:cs="仿宋"/>
          <w:color w:val="auto"/>
          <w:spacing w:val="-4"/>
          <w:sz w:val="28"/>
          <w:szCs w:val="28"/>
          <w:highlight w:val="none"/>
          <w:lang w:eastAsia="zh-CN"/>
        </w:rPr>
        <w:t>遴选</w:t>
      </w:r>
      <w:r>
        <w:rPr>
          <w:rFonts w:hint="eastAsia" w:ascii="仿宋" w:hAnsi="仿宋" w:eastAsia="仿宋" w:cs="仿宋"/>
          <w:color w:val="auto"/>
          <w:spacing w:val="-4"/>
          <w:sz w:val="28"/>
          <w:szCs w:val="28"/>
          <w:highlight w:val="none"/>
        </w:rPr>
        <w:t>。</w:t>
      </w:r>
    </w:p>
    <w:p w14:paraId="00506761">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2</w:t>
      </w:r>
      <w:r>
        <w:rPr>
          <w:rFonts w:hint="eastAsia" w:ascii="仿宋" w:hAnsi="仿宋" w:eastAsia="仿宋" w:cs="仿宋"/>
          <w:color w:val="auto"/>
          <w:spacing w:val="-2"/>
          <w:sz w:val="28"/>
          <w:szCs w:val="28"/>
          <w:highlight w:val="none"/>
        </w:rPr>
        <w:t>.</w:t>
      </w:r>
      <w:r>
        <w:rPr>
          <w:rFonts w:hint="eastAsia" w:ascii="仿宋" w:hAnsi="仿宋" w:eastAsia="仿宋" w:cs="仿宋"/>
          <w:color w:val="auto"/>
          <w:spacing w:val="-2"/>
          <w:sz w:val="28"/>
          <w:szCs w:val="28"/>
          <w:highlight w:val="none"/>
          <w:lang w:val="en-US" w:eastAsia="zh-CN"/>
        </w:rPr>
        <w:t>3</w:t>
      </w:r>
      <w:r>
        <w:rPr>
          <w:rFonts w:hint="eastAsia" w:ascii="仿宋" w:hAnsi="仿宋" w:eastAsia="仿宋" w:cs="仿宋"/>
          <w:color w:val="auto"/>
          <w:spacing w:val="-2"/>
          <w:sz w:val="28"/>
          <w:szCs w:val="28"/>
          <w:highlight w:val="none"/>
        </w:rPr>
        <w:t>最高报价并不是被授予合同的保证。</w:t>
      </w:r>
    </w:p>
    <w:p w14:paraId="0D0D7517">
      <w:pPr>
        <w:pStyle w:val="8"/>
        <w:keepNext w:val="0"/>
        <w:keepLines w:val="0"/>
        <w:pageBreakBefore w:val="0"/>
        <w:widowControl w:val="0"/>
        <w:kinsoku/>
        <w:wordWrap/>
        <w:overflowPunct/>
        <w:topLinePunct w:val="0"/>
        <w:autoSpaceDE/>
        <w:autoSpaceDN/>
        <w:bidi w:val="0"/>
        <w:spacing w:line="400" w:lineRule="exact"/>
        <w:ind w:left="471"/>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2</w:t>
      </w:r>
      <w:r>
        <w:rPr>
          <w:rFonts w:hint="eastAsia" w:ascii="仿宋" w:hAnsi="仿宋" w:eastAsia="仿宋" w:cs="仿宋"/>
          <w:b/>
          <w:bCs/>
          <w:color w:val="auto"/>
          <w:spacing w:val="-4"/>
          <w:sz w:val="28"/>
          <w:szCs w:val="28"/>
          <w:highlight w:val="none"/>
          <w:lang w:val="en-US" w:eastAsia="zh-CN"/>
        </w:rPr>
        <w:t>3</w:t>
      </w:r>
      <w:r>
        <w:rPr>
          <w:rFonts w:hint="eastAsia" w:ascii="仿宋" w:hAnsi="仿宋" w:eastAsia="仿宋" w:cs="仿宋"/>
          <w:b/>
          <w:bCs/>
          <w:color w:val="auto"/>
          <w:spacing w:val="-4"/>
          <w:sz w:val="28"/>
          <w:szCs w:val="28"/>
          <w:highlight w:val="none"/>
        </w:rPr>
        <w:t>.中标通知书</w:t>
      </w:r>
    </w:p>
    <w:p w14:paraId="11F83042">
      <w:pPr>
        <w:pStyle w:val="8"/>
        <w:keepNext w:val="0"/>
        <w:keepLines w:val="0"/>
        <w:pageBreakBefore w:val="0"/>
        <w:widowControl w:val="0"/>
        <w:kinsoku/>
        <w:wordWrap/>
        <w:overflowPunct/>
        <w:topLinePunct w:val="0"/>
        <w:autoSpaceDE/>
        <w:autoSpaceDN/>
        <w:bidi w:val="0"/>
        <w:spacing w:line="400" w:lineRule="exact"/>
        <w:ind w:left="2" w:right="82" w:firstLine="468"/>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3</w:t>
      </w:r>
      <w:r>
        <w:rPr>
          <w:rFonts w:hint="eastAsia" w:ascii="仿宋" w:hAnsi="仿宋" w:eastAsia="仿宋" w:cs="仿宋"/>
          <w:color w:val="auto"/>
          <w:spacing w:val="-1"/>
          <w:sz w:val="28"/>
          <w:szCs w:val="28"/>
          <w:highlight w:val="none"/>
        </w:rPr>
        <w:t>.1</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确定后,</w:t>
      </w:r>
      <w:r>
        <w:rPr>
          <w:rFonts w:hint="eastAsia" w:ascii="仿宋" w:hAnsi="仿宋" w:eastAsia="仿宋" w:cs="仿宋"/>
          <w:color w:val="auto"/>
          <w:spacing w:val="-1"/>
          <w:sz w:val="28"/>
          <w:szCs w:val="28"/>
          <w:highlight w:val="none"/>
          <w:lang w:val="en-US" w:eastAsia="zh-CN"/>
        </w:rPr>
        <w:t>由</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lang w:val="en-US" w:eastAsia="zh-CN"/>
        </w:rPr>
        <w:t>及</w:t>
      </w:r>
      <w:r>
        <w:rPr>
          <w:rFonts w:hint="eastAsia" w:ascii="仿宋" w:hAnsi="仿宋" w:eastAsia="仿宋" w:cs="仿宋"/>
          <w:color w:val="auto"/>
          <w:spacing w:val="-1"/>
          <w:sz w:val="28"/>
          <w:szCs w:val="28"/>
          <w:highlight w:val="none"/>
          <w:lang w:eastAsia="zh-CN"/>
        </w:rPr>
        <w:t>代理机构</w:t>
      </w:r>
      <w:r>
        <w:rPr>
          <w:rFonts w:hint="eastAsia" w:ascii="仿宋" w:hAnsi="仿宋" w:eastAsia="仿宋" w:cs="仿宋"/>
          <w:color w:val="auto"/>
          <w:spacing w:val="-1"/>
          <w:sz w:val="28"/>
          <w:szCs w:val="28"/>
          <w:highlight w:val="none"/>
        </w:rPr>
        <w:t>发布中标公告，同时以书面形式</w:t>
      </w:r>
      <w:r>
        <w:rPr>
          <w:rFonts w:hint="eastAsia" w:ascii="仿宋" w:hAnsi="仿宋" w:eastAsia="仿宋" w:cs="仿宋"/>
          <w:color w:val="auto"/>
          <w:spacing w:val="-2"/>
          <w:sz w:val="28"/>
          <w:szCs w:val="28"/>
          <w:highlight w:val="none"/>
        </w:rPr>
        <w:t>向</w:t>
      </w:r>
      <w:r>
        <w:rPr>
          <w:rFonts w:hint="eastAsia" w:ascii="仿宋" w:hAnsi="仿宋" w:eastAsia="仿宋" w:cs="仿宋"/>
          <w:color w:val="auto"/>
          <w:spacing w:val="-2"/>
          <w:sz w:val="28"/>
          <w:szCs w:val="28"/>
          <w:highlight w:val="none"/>
          <w:lang w:eastAsia="zh-CN"/>
        </w:rPr>
        <w:t>中标供应商</w:t>
      </w:r>
      <w:r>
        <w:rPr>
          <w:rFonts w:hint="eastAsia" w:ascii="仿宋" w:hAnsi="仿宋" w:eastAsia="仿宋" w:cs="仿宋"/>
          <w:color w:val="auto"/>
          <w:spacing w:val="-2"/>
          <w:sz w:val="28"/>
          <w:szCs w:val="28"/>
          <w:highlight w:val="none"/>
        </w:rPr>
        <w:t>发出中标通知书。</w:t>
      </w:r>
    </w:p>
    <w:p w14:paraId="43EB48D8">
      <w:pPr>
        <w:pStyle w:val="8"/>
        <w:keepNext w:val="0"/>
        <w:keepLines w:val="0"/>
        <w:pageBreakBefore w:val="0"/>
        <w:widowControl w:val="0"/>
        <w:kinsoku/>
        <w:wordWrap/>
        <w:overflowPunct/>
        <w:topLinePunct w:val="0"/>
        <w:autoSpaceDE/>
        <w:autoSpaceDN/>
        <w:bidi w:val="0"/>
        <w:spacing w:line="400" w:lineRule="exact"/>
        <w:ind w:left="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val="en-US" w:eastAsia="zh-CN"/>
        </w:rPr>
        <w:t>3</w:t>
      </w:r>
      <w:r>
        <w:rPr>
          <w:rFonts w:hint="eastAsia" w:ascii="仿宋" w:hAnsi="仿宋" w:eastAsia="仿宋" w:cs="仿宋"/>
          <w:color w:val="auto"/>
          <w:spacing w:val="-1"/>
          <w:sz w:val="28"/>
          <w:szCs w:val="28"/>
          <w:highlight w:val="none"/>
        </w:rPr>
        <w:t>.2</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对未中标的</w:t>
      </w:r>
      <w:r>
        <w:rPr>
          <w:rFonts w:hint="eastAsia" w:ascii="仿宋" w:hAnsi="仿宋" w:eastAsia="仿宋" w:cs="仿宋"/>
          <w:color w:val="auto"/>
          <w:spacing w:val="-1"/>
          <w:sz w:val="28"/>
          <w:szCs w:val="28"/>
          <w:highlight w:val="none"/>
          <w:lang w:val="en-US" w:eastAsia="zh-CN"/>
        </w:rPr>
        <w:t>各供应商</w:t>
      </w:r>
      <w:r>
        <w:rPr>
          <w:rFonts w:hint="eastAsia" w:ascii="仿宋" w:hAnsi="仿宋" w:eastAsia="仿宋" w:cs="仿宋"/>
          <w:color w:val="auto"/>
          <w:spacing w:val="-1"/>
          <w:sz w:val="28"/>
          <w:szCs w:val="28"/>
          <w:highlight w:val="none"/>
        </w:rPr>
        <w:t>不做未中标原因的解释。</w:t>
      </w:r>
    </w:p>
    <w:p w14:paraId="182DFCF6">
      <w:pPr>
        <w:pStyle w:val="8"/>
        <w:keepNext w:val="0"/>
        <w:keepLines w:val="0"/>
        <w:pageBreakBefore w:val="0"/>
        <w:widowControl w:val="0"/>
        <w:kinsoku/>
        <w:wordWrap/>
        <w:overflowPunct/>
        <w:topLinePunct w:val="0"/>
        <w:autoSpaceDE/>
        <w:autoSpaceDN/>
        <w:bidi w:val="0"/>
        <w:spacing w:line="400" w:lineRule="exact"/>
        <w:ind w:left="471"/>
        <w:textAlignment w:val="auto"/>
        <w:rPr>
          <w:rFonts w:hint="eastAsia" w:ascii="仿宋" w:hAnsi="仿宋" w:eastAsia="仿宋" w:cs="仿宋"/>
          <w:color w:val="auto"/>
          <w:sz w:val="28"/>
          <w:szCs w:val="28"/>
          <w:highlight w:val="none"/>
          <w:lang w:eastAsia="zh-CN"/>
        </w:rPr>
      </w:pPr>
      <w:r>
        <w:rPr>
          <w:rFonts w:hint="eastAsia" w:ascii="仿宋" w:hAnsi="仿宋" w:eastAsia="仿宋" w:cs="仿宋"/>
          <w:b/>
          <w:bCs/>
          <w:color w:val="auto"/>
          <w:spacing w:val="-2"/>
          <w:sz w:val="28"/>
          <w:szCs w:val="28"/>
          <w:highlight w:val="none"/>
        </w:rPr>
        <w:t>2</w:t>
      </w:r>
      <w:r>
        <w:rPr>
          <w:rFonts w:hint="eastAsia" w:ascii="仿宋" w:hAnsi="仿宋" w:eastAsia="仿宋" w:cs="仿宋"/>
          <w:b/>
          <w:bCs/>
          <w:color w:val="auto"/>
          <w:spacing w:val="-2"/>
          <w:sz w:val="28"/>
          <w:szCs w:val="28"/>
          <w:highlight w:val="none"/>
          <w:lang w:val="en-US" w:eastAsia="zh-CN"/>
        </w:rPr>
        <w:t>4</w:t>
      </w:r>
      <w:r>
        <w:rPr>
          <w:rFonts w:hint="eastAsia" w:ascii="仿宋" w:hAnsi="仿宋" w:eastAsia="仿宋" w:cs="仿宋"/>
          <w:b/>
          <w:bCs/>
          <w:color w:val="auto"/>
          <w:spacing w:val="-2"/>
          <w:sz w:val="28"/>
          <w:szCs w:val="28"/>
          <w:highlight w:val="none"/>
        </w:rPr>
        <w:t>.中标服务费</w:t>
      </w:r>
      <w:r>
        <w:rPr>
          <w:rFonts w:hint="eastAsia" w:ascii="仿宋" w:hAnsi="仿宋" w:eastAsia="仿宋" w:cs="仿宋"/>
          <w:b/>
          <w:bCs/>
          <w:color w:val="auto"/>
          <w:spacing w:val="-2"/>
          <w:sz w:val="28"/>
          <w:szCs w:val="28"/>
          <w:highlight w:val="none"/>
          <w:lang w:eastAsia="zh-CN"/>
        </w:rPr>
        <w:t>：</w:t>
      </w:r>
      <w:r>
        <w:rPr>
          <w:rFonts w:hint="eastAsia" w:ascii="仿宋" w:hAnsi="仿宋" w:eastAsia="仿宋" w:cs="仿宋"/>
          <w:color w:val="auto"/>
          <w:spacing w:val="-2"/>
          <w:sz w:val="28"/>
          <w:szCs w:val="28"/>
          <w:highlight w:val="none"/>
        </w:rPr>
        <w:t>详见</w:t>
      </w:r>
      <w:r>
        <w:rPr>
          <w:rFonts w:hint="eastAsia" w:ascii="仿宋" w:hAnsi="仿宋" w:eastAsia="仿宋" w:cs="仿宋"/>
          <w:color w:val="auto"/>
          <w:spacing w:val="-2"/>
          <w:sz w:val="28"/>
          <w:szCs w:val="28"/>
          <w:highlight w:val="none"/>
          <w:lang w:eastAsia="zh-CN"/>
        </w:rPr>
        <w:t>前附表</w:t>
      </w:r>
    </w:p>
    <w:p w14:paraId="09BCBD3F">
      <w:pPr>
        <w:pStyle w:val="8"/>
        <w:keepNext w:val="0"/>
        <w:keepLines w:val="0"/>
        <w:pageBreakBefore w:val="0"/>
        <w:widowControl w:val="0"/>
        <w:kinsoku/>
        <w:wordWrap/>
        <w:overflowPunct/>
        <w:topLinePunct w:val="0"/>
        <w:autoSpaceDE/>
        <w:autoSpaceDN/>
        <w:bidi w:val="0"/>
        <w:spacing w:line="400" w:lineRule="exact"/>
        <w:ind w:left="471"/>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rPr>
        <w:t>2</w:t>
      </w:r>
      <w:r>
        <w:rPr>
          <w:rFonts w:hint="eastAsia" w:ascii="仿宋" w:hAnsi="仿宋" w:eastAsia="仿宋" w:cs="仿宋"/>
          <w:b/>
          <w:bCs/>
          <w:color w:val="auto"/>
          <w:spacing w:val="-4"/>
          <w:sz w:val="28"/>
          <w:szCs w:val="28"/>
          <w:highlight w:val="none"/>
          <w:lang w:val="en-US" w:eastAsia="zh-CN"/>
        </w:rPr>
        <w:t>5</w:t>
      </w:r>
      <w:r>
        <w:rPr>
          <w:rFonts w:hint="eastAsia" w:ascii="仿宋" w:hAnsi="仿宋" w:eastAsia="仿宋" w:cs="仿宋"/>
          <w:b/>
          <w:bCs/>
          <w:color w:val="auto"/>
          <w:spacing w:val="-4"/>
          <w:sz w:val="28"/>
          <w:szCs w:val="28"/>
          <w:highlight w:val="none"/>
        </w:rPr>
        <w:t>.履约保证金</w:t>
      </w:r>
      <w:r>
        <w:rPr>
          <w:rFonts w:hint="eastAsia" w:ascii="仿宋" w:hAnsi="仿宋" w:eastAsia="仿宋" w:cs="仿宋"/>
          <w:b/>
          <w:bCs/>
          <w:color w:val="auto"/>
          <w:spacing w:val="-4"/>
          <w:sz w:val="28"/>
          <w:szCs w:val="28"/>
          <w:highlight w:val="none"/>
          <w:lang w:eastAsia="zh-CN"/>
        </w:rPr>
        <w:t>：</w:t>
      </w:r>
      <w:r>
        <w:rPr>
          <w:rFonts w:hint="eastAsia" w:ascii="仿宋" w:hAnsi="仿宋" w:eastAsia="仿宋" w:cs="仿宋"/>
          <w:b w:val="0"/>
          <w:bCs w:val="0"/>
          <w:color w:val="auto"/>
          <w:spacing w:val="-4"/>
          <w:sz w:val="28"/>
          <w:szCs w:val="28"/>
          <w:highlight w:val="none"/>
          <w:lang w:val="en-US" w:eastAsia="zh-CN"/>
        </w:rPr>
        <w:t>本项目不涉及。</w:t>
      </w:r>
    </w:p>
    <w:p w14:paraId="768C71B5">
      <w:pPr>
        <w:pStyle w:val="8"/>
        <w:keepNext w:val="0"/>
        <w:keepLines w:val="0"/>
        <w:pageBreakBefore w:val="0"/>
        <w:widowControl w:val="0"/>
        <w:kinsoku/>
        <w:wordWrap/>
        <w:overflowPunct/>
        <w:topLinePunct w:val="0"/>
        <w:autoSpaceDE/>
        <w:autoSpaceDN/>
        <w:bidi w:val="0"/>
        <w:spacing w:line="400" w:lineRule="exact"/>
        <w:ind w:left="471"/>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2</w:t>
      </w:r>
      <w:r>
        <w:rPr>
          <w:rFonts w:hint="eastAsia" w:ascii="仿宋" w:hAnsi="仿宋" w:eastAsia="仿宋" w:cs="仿宋"/>
          <w:b/>
          <w:bCs/>
          <w:color w:val="auto"/>
          <w:spacing w:val="-4"/>
          <w:sz w:val="28"/>
          <w:szCs w:val="28"/>
          <w:highlight w:val="none"/>
          <w:lang w:val="en-US" w:eastAsia="zh-CN"/>
        </w:rPr>
        <w:t>6</w:t>
      </w:r>
      <w:r>
        <w:rPr>
          <w:rFonts w:hint="eastAsia" w:ascii="仿宋" w:hAnsi="仿宋" w:eastAsia="仿宋" w:cs="仿宋"/>
          <w:b/>
          <w:bCs/>
          <w:color w:val="auto"/>
          <w:spacing w:val="-4"/>
          <w:sz w:val="28"/>
          <w:szCs w:val="28"/>
          <w:highlight w:val="none"/>
        </w:rPr>
        <w:t>.签订合同</w:t>
      </w:r>
    </w:p>
    <w:p w14:paraId="23B717C1">
      <w:pPr>
        <w:pStyle w:val="8"/>
        <w:keepNext w:val="0"/>
        <w:keepLines w:val="0"/>
        <w:pageBreakBefore w:val="0"/>
        <w:widowControl w:val="0"/>
        <w:kinsoku/>
        <w:wordWrap/>
        <w:overflowPunct/>
        <w:topLinePunct w:val="0"/>
        <w:autoSpaceDE/>
        <w:autoSpaceDN/>
        <w:bidi w:val="0"/>
        <w:spacing w:line="400" w:lineRule="exact"/>
        <w:ind w:firstLine="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w:t>
      </w:r>
      <w:r>
        <w:rPr>
          <w:rFonts w:hint="eastAsia" w:ascii="仿宋" w:hAnsi="仿宋" w:eastAsia="仿宋" w:cs="仿宋"/>
          <w:color w:val="auto"/>
          <w:spacing w:val="-2"/>
          <w:sz w:val="28"/>
          <w:szCs w:val="28"/>
          <w:highlight w:val="none"/>
          <w:lang w:val="en-US" w:eastAsia="zh-CN"/>
        </w:rPr>
        <w:t>6</w:t>
      </w:r>
      <w:r>
        <w:rPr>
          <w:rFonts w:hint="eastAsia" w:ascii="仿宋" w:hAnsi="仿宋" w:eastAsia="仿宋" w:cs="仿宋"/>
          <w:color w:val="auto"/>
          <w:spacing w:val="-2"/>
          <w:sz w:val="28"/>
          <w:szCs w:val="28"/>
          <w:highlight w:val="none"/>
        </w:rPr>
        <w:t>.1</w:t>
      </w:r>
      <w:r>
        <w:rPr>
          <w:rFonts w:hint="eastAsia" w:ascii="仿宋" w:hAnsi="仿宋" w:eastAsia="仿宋" w:cs="仿宋"/>
          <w:color w:val="auto"/>
          <w:spacing w:val="-2"/>
          <w:sz w:val="28"/>
          <w:szCs w:val="28"/>
          <w:highlight w:val="none"/>
          <w:lang w:val="en-US" w:eastAsia="zh-CN"/>
        </w:rPr>
        <w:t>中标通知书发出后</w:t>
      </w:r>
      <w:r>
        <w:rPr>
          <w:rFonts w:hint="eastAsia" w:ascii="仿宋" w:hAnsi="仿宋" w:eastAsia="仿宋" w:cs="仿宋"/>
          <w:color w:val="auto"/>
          <w:spacing w:val="-2"/>
          <w:sz w:val="28"/>
          <w:szCs w:val="28"/>
          <w:highlight w:val="none"/>
        </w:rPr>
        <w:t>，</w:t>
      </w:r>
      <w:r>
        <w:rPr>
          <w:rFonts w:hint="eastAsia" w:ascii="仿宋" w:hAnsi="仿宋" w:eastAsia="仿宋" w:cs="仿宋"/>
          <w:color w:val="auto"/>
          <w:spacing w:val="-2"/>
          <w:sz w:val="28"/>
          <w:szCs w:val="28"/>
          <w:highlight w:val="none"/>
          <w:lang w:val="en-US" w:eastAsia="zh-CN"/>
        </w:rPr>
        <w:t>中标供应商应在15个工作日内完成合同签订</w:t>
      </w:r>
      <w:r>
        <w:rPr>
          <w:rFonts w:hint="eastAsia" w:ascii="仿宋" w:hAnsi="仿宋" w:eastAsia="仿宋" w:cs="仿宋"/>
          <w:color w:val="auto"/>
          <w:spacing w:val="-2"/>
          <w:sz w:val="28"/>
          <w:szCs w:val="28"/>
          <w:highlight w:val="none"/>
        </w:rPr>
        <w:t>。</w:t>
      </w:r>
      <w:r>
        <w:rPr>
          <w:rFonts w:hint="eastAsia" w:ascii="仿宋" w:hAnsi="仿宋" w:eastAsia="仿宋" w:cs="仿宋"/>
          <w:color w:val="auto"/>
          <w:spacing w:val="-3"/>
          <w:sz w:val="28"/>
          <w:szCs w:val="28"/>
          <w:highlight w:val="none"/>
        </w:rPr>
        <w:t>无正当理由不得拒绝或者拖延签订合同。</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文件及澄清文件等，均作为合同的附件。</w:t>
      </w:r>
    </w:p>
    <w:p w14:paraId="07F65927">
      <w:pPr>
        <w:pStyle w:val="8"/>
        <w:keepNext w:val="0"/>
        <w:keepLines w:val="0"/>
        <w:pageBreakBefore w:val="0"/>
        <w:widowControl w:val="0"/>
        <w:kinsoku/>
        <w:wordWrap/>
        <w:overflowPunct/>
        <w:topLinePunct w:val="0"/>
        <w:autoSpaceDE/>
        <w:autoSpaceDN/>
        <w:bidi w:val="0"/>
        <w:spacing w:line="400" w:lineRule="exact"/>
        <w:ind w:left="4" w:right="80" w:firstLine="479"/>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2</w:t>
      </w:r>
      <w:r>
        <w:rPr>
          <w:rFonts w:hint="eastAsia" w:ascii="仿宋" w:hAnsi="仿宋" w:eastAsia="仿宋" w:cs="仿宋"/>
          <w:color w:val="auto"/>
          <w:spacing w:val="-2"/>
          <w:sz w:val="28"/>
          <w:szCs w:val="28"/>
          <w:highlight w:val="none"/>
          <w:lang w:val="en-US" w:eastAsia="zh-CN"/>
        </w:rPr>
        <w:t>6</w:t>
      </w:r>
      <w:r>
        <w:rPr>
          <w:rFonts w:hint="eastAsia" w:ascii="仿宋" w:hAnsi="仿宋" w:eastAsia="仿宋" w:cs="仿宋"/>
          <w:color w:val="auto"/>
          <w:spacing w:val="-2"/>
          <w:sz w:val="28"/>
          <w:szCs w:val="28"/>
          <w:highlight w:val="none"/>
        </w:rPr>
        <w:t>.2双方必须严格按照</w:t>
      </w:r>
      <w:r>
        <w:rPr>
          <w:rFonts w:hint="eastAsia" w:ascii="仿宋" w:hAnsi="仿宋" w:eastAsia="仿宋" w:cs="仿宋"/>
          <w:color w:val="auto"/>
          <w:spacing w:val="-2"/>
          <w:sz w:val="28"/>
          <w:szCs w:val="28"/>
          <w:highlight w:val="none"/>
          <w:lang w:eastAsia="zh-CN"/>
        </w:rPr>
        <w:t>遴选</w:t>
      </w:r>
      <w:r>
        <w:rPr>
          <w:rFonts w:hint="eastAsia" w:ascii="仿宋" w:hAnsi="仿宋" w:eastAsia="仿宋" w:cs="仿宋"/>
          <w:color w:val="auto"/>
          <w:spacing w:val="-2"/>
          <w:sz w:val="28"/>
          <w:szCs w:val="28"/>
          <w:highlight w:val="none"/>
        </w:rPr>
        <w:t>文件、</w:t>
      </w:r>
      <w:r>
        <w:rPr>
          <w:rFonts w:hint="eastAsia" w:ascii="仿宋" w:hAnsi="仿宋" w:eastAsia="仿宋" w:cs="仿宋"/>
          <w:color w:val="auto"/>
          <w:spacing w:val="-2"/>
          <w:sz w:val="28"/>
          <w:szCs w:val="28"/>
          <w:highlight w:val="none"/>
          <w:lang w:eastAsia="zh-CN"/>
        </w:rPr>
        <w:t>响应</w:t>
      </w:r>
      <w:r>
        <w:rPr>
          <w:rFonts w:hint="eastAsia" w:ascii="仿宋" w:hAnsi="仿宋" w:eastAsia="仿宋" w:cs="仿宋"/>
          <w:color w:val="auto"/>
          <w:spacing w:val="-2"/>
          <w:sz w:val="28"/>
          <w:szCs w:val="28"/>
          <w:highlight w:val="none"/>
        </w:rPr>
        <w:t>文件及有关承诺签订合同，不得擅自变更。合</w:t>
      </w:r>
      <w:r>
        <w:rPr>
          <w:rFonts w:hint="eastAsia" w:ascii="仿宋" w:hAnsi="仿宋" w:eastAsia="仿宋" w:cs="仿宋"/>
          <w:color w:val="auto"/>
          <w:spacing w:val="1"/>
          <w:sz w:val="28"/>
          <w:szCs w:val="28"/>
          <w:highlight w:val="none"/>
        </w:rPr>
        <w:t>同的标的、价款、质量、履行期限等主要条款应当与</w:t>
      </w:r>
      <w:r>
        <w:rPr>
          <w:rFonts w:hint="eastAsia" w:ascii="仿宋" w:hAnsi="仿宋" w:eastAsia="仿宋" w:cs="仿宋"/>
          <w:color w:val="auto"/>
          <w:spacing w:val="1"/>
          <w:sz w:val="28"/>
          <w:szCs w:val="28"/>
          <w:highlight w:val="none"/>
          <w:lang w:eastAsia="zh-CN"/>
        </w:rPr>
        <w:t>遴选</w:t>
      </w:r>
      <w:r>
        <w:rPr>
          <w:rFonts w:hint="eastAsia" w:ascii="仿宋" w:hAnsi="仿宋" w:eastAsia="仿宋" w:cs="仿宋"/>
          <w:color w:val="auto"/>
          <w:spacing w:val="1"/>
          <w:sz w:val="28"/>
          <w:szCs w:val="28"/>
          <w:highlight w:val="none"/>
        </w:rPr>
        <w:t>文件和</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eastAsia="zh-CN"/>
        </w:rPr>
        <w:t>响应</w:t>
      </w:r>
      <w:r>
        <w:rPr>
          <w:rFonts w:hint="eastAsia" w:ascii="仿宋" w:hAnsi="仿宋" w:eastAsia="仿宋" w:cs="仿宋"/>
          <w:color w:val="auto"/>
          <w:spacing w:val="1"/>
          <w:sz w:val="28"/>
          <w:szCs w:val="28"/>
          <w:highlight w:val="none"/>
        </w:rPr>
        <w:t>文件</w:t>
      </w:r>
      <w:r>
        <w:rPr>
          <w:rFonts w:hint="eastAsia" w:ascii="仿宋" w:hAnsi="仿宋" w:eastAsia="仿宋" w:cs="仿宋"/>
          <w:color w:val="auto"/>
          <w:sz w:val="28"/>
          <w:szCs w:val="28"/>
          <w:highlight w:val="none"/>
        </w:rPr>
        <w:t>的内容</w:t>
      </w:r>
      <w:r>
        <w:rPr>
          <w:rFonts w:hint="eastAsia" w:ascii="仿宋" w:hAnsi="仿宋" w:eastAsia="仿宋" w:cs="仿宋"/>
          <w:color w:val="auto"/>
          <w:spacing w:val="-1"/>
          <w:sz w:val="28"/>
          <w:szCs w:val="28"/>
          <w:highlight w:val="none"/>
        </w:rPr>
        <w:t>一致，</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和</w:t>
      </w:r>
      <w:r>
        <w:rPr>
          <w:rFonts w:hint="eastAsia" w:ascii="仿宋" w:hAnsi="仿宋" w:eastAsia="仿宋" w:cs="仿宋"/>
          <w:color w:val="auto"/>
          <w:spacing w:val="-1"/>
          <w:sz w:val="28"/>
          <w:szCs w:val="28"/>
          <w:highlight w:val="none"/>
          <w:lang w:eastAsia="zh-CN"/>
        </w:rPr>
        <w:t>中标供应商</w:t>
      </w:r>
      <w:r>
        <w:rPr>
          <w:rFonts w:hint="eastAsia" w:ascii="仿宋" w:hAnsi="仿宋" w:eastAsia="仿宋" w:cs="仿宋"/>
          <w:color w:val="auto"/>
          <w:spacing w:val="-1"/>
          <w:sz w:val="28"/>
          <w:szCs w:val="28"/>
          <w:highlight w:val="none"/>
        </w:rPr>
        <w:t>不得再行订立背离合同实质性内容的其他协议。</w:t>
      </w:r>
    </w:p>
    <w:p w14:paraId="1183DF52">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lang w:val="en-US" w:eastAsia="zh-CN"/>
        </w:rPr>
        <w:t>27</w:t>
      </w:r>
      <w:r>
        <w:rPr>
          <w:rFonts w:hint="eastAsia" w:ascii="仿宋" w:hAnsi="仿宋" w:eastAsia="仿宋" w:cs="仿宋"/>
          <w:b/>
          <w:bCs/>
          <w:color w:val="auto"/>
          <w:spacing w:val="-4"/>
          <w:sz w:val="28"/>
          <w:szCs w:val="28"/>
          <w:highlight w:val="none"/>
        </w:rPr>
        <w:t>.质疑和投诉</w:t>
      </w:r>
    </w:p>
    <w:p w14:paraId="5509989B">
      <w:pPr>
        <w:pStyle w:val="8"/>
        <w:keepNext w:val="0"/>
        <w:keepLines w:val="0"/>
        <w:pageBreakBefore w:val="0"/>
        <w:widowControl w:val="0"/>
        <w:kinsoku/>
        <w:wordWrap/>
        <w:overflowPunct/>
        <w:topLinePunct w:val="0"/>
        <w:autoSpaceDE/>
        <w:autoSpaceDN/>
        <w:bidi w:val="0"/>
        <w:spacing w:line="400" w:lineRule="exact"/>
        <w:ind w:right="99" w:firstLine="483"/>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1"/>
          <w:sz w:val="28"/>
          <w:szCs w:val="28"/>
          <w:highlight w:val="none"/>
        </w:rPr>
        <w:t>.1质疑人认为中标结果使自己的权益受到损害的，可以向</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提出质疑。质疑实行实名制，应当有具体的事项及根据，不得进行虚假、恶意质疑，扰乱</w:t>
      </w:r>
      <w:r>
        <w:rPr>
          <w:rFonts w:hint="eastAsia" w:ascii="仿宋" w:hAnsi="仿宋" w:eastAsia="仿宋" w:cs="仿宋"/>
          <w:color w:val="auto"/>
          <w:spacing w:val="-1"/>
          <w:sz w:val="28"/>
          <w:szCs w:val="28"/>
          <w:highlight w:val="none"/>
        </w:rPr>
        <w:t>公共资源交易活动的正常工作秩序。</w:t>
      </w:r>
    </w:p>
    <w:p w14:paraId="5C445E38">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2"/>
          <w:sz w:val="28"/>
          <w:szCs w:val="28"/>
          <w:highlight w:val="none"/>
        </w:rPr>
        <w:t>.2质疑应在规定时限内提出：</w:t>
      </w:r>
      <w:r>
        <w:rPr>
          <w:rFonts w:hint="eastAsia" w:ascii="仿宋" w:hAnsi="仿宋" w:eastAsia="仿宋" w:cs="仿宋"/>
          <w:color w:val="auto"/>
          <w:sz w:val="28"/>
          <w:szCs w:val="28"/>
          <w:highlight w:val="none"/>
        </w:rPr>
        <w:t>对中标结果的质疑，应在中标结果公布之日</w:t>
      </w:r>
      <w:r>
        <w:rPr>
          <w:rFonts w:hint="eastAsia" w:ascii="仿宋" w:hAnsi="仿宋" w:eastAsia="仿宋" w:cs="仿宋"/>
          <w:color w:val="auto"/>
          <w:spacing w:val="-1"/>
          <w:sz w:val="28"/>
          <w:szCs w:val="28"/>
          <w:highlight w:val="none"/>
        </w:rPr>
        <w:t>起七个工作日内提出。</w:t>
      </w:r>
    </w:p>
    <w:p w14:paraId="76FE02C2">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2"/>
          <w:sz w:val="28"/>
          <w:szCs w:val="28"/>
          <w:highlight w:val="none"/>
        </w:rPr>
        <w:t>.3质疑材料应当包括以下内容：</w:t>
      </w:r>
    </w:p>
    <w:p w14:paraId="030B16EA">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1"/>
          <w:sz w:val="28"/>
          <w:szCs w:val="28"/>
          <w:highlight w:val="none"/>
        </w:rPr>
        <w:t>.3.1质疑人的名称、地址、有效联系</w:t>
      </w:r>
      <w:r>
        <w:rPr>
          <w:rFonts w:hint="eastAsia" w:ascii="仿宋" w:hAnsi="仿宋" w:eastAsia="仿宋" w:cs="仿宋"/>
          <w:color w:val="auto"/>
          <w:spacing w:val="-2"/>
          <w:sz w:val="28"/>
          <w:szCs w:val="28"/>
          <w:highlight w:val="none"/>
        </w:rPr>
        <w:t>方式；</w:t>
      </w:r>
    </w:p>
    <w:p w14:paraId="7BD66CE6">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2"/>
          <w:sz w:val="28"/>
          <w:szCs w:val="28"/>
          <w:highlight w:val="none"/>
        </w:rPr>
        <w:t>.3.2项目名称、项目编号、包别号（如有</w:t>
      </w:r>
      <w:r>
        <w:rPr>
          <w:rFonts w:hint="eastAsia" w:ascii="仿宋" w:hAnsi="仿宋" w:eastAsia="仿宋" w:cs="仿宋"/>
          <w:color w:val="auto"/>
          <w:spacing w:val="7"/>
          <w:sz w:val="28"/>
          <w:szCs w:val="28"/>
          <w:highlight w:val="none"/>
        </w:rPr>
        <w:t>）；</w:t>
      </w:r>
    </w:p>
    <w:p w14:paraId="6908683B">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2"/>
          <w:sz w:val="28"/>
          <w:szCs w:val="28"/>
          <w:highlight w:val="none"/>
        </w:rPr>
        <w:t>.3.3被质疑人名称；</w:t>
      </w:r>
    </w:p>
    <w:p w14:paraId="0362148C">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1"/>
          <w:sz w:val="28"/>
          <w:szCs w:val="28"/>
          <w:highlight w:val="none"/>
        </w:rPr>
        <w:t>.3.4具体的质疑事项、基本事实及必要的证明</w:t>
      </w:r>
      <w:r>
        <w:rPr>
          <w:rFonts w:hint="eastAsia" w:ascii="仿宋" w:hAnsi="仿宋" w:eastAsia="仿宋" w:cs="仿宋"/>
          <w:color w:val="auto"/>
          <w:spacing w:val="-2"/>
          <w:sz w:val="28"/>
          <w:szCs w:val="28"/>
          <w:highlight w:val="none"/>
        </w:rPr>
        <w:t>材料；</w:t>
      </w:r>
    </w:p>
    <w:p w14:paraId="34321A77">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4"/>
          <w:sz w:val="28"/>
          <w:szCs w:val="28"/>
          <w:highlight w:val="none"/>
        </w:rPr>
        <w:t>.3.5明确的请求及主张；</w:t>
      </w:r>
    </w:p>
    <w:p w14:paraId="7808FB5D">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val="en-US" w:eastAsia="zh-CN"/>
        </w:rPr>
        <w:t>27</w:t>
      </w:r>
      <w:r>
        <w:rPr>
          <w:rFonts w:hint="eastAsia" w:ascii="仿宋" w:hAnsi="仿宋" w:eastAsia="仿宋" w:cs="仿宋"/>
          <w:color w:val="auto"/>
          <w:spacing w:val="-2"/>
          <w:sz w:val="28"/>
          <w:szCs w:val="28"/>
          <w:highlight w:val="none"/>
        </w:rPr>
        <w:t>.3.6提起质疑的日期。</w:t>
      </w:r>
    </w:p>
    <w:p w14:paraId="3B06396D">
      <w:pPr>
        <w:pStyle w:val="8"/>
        <w:keepNext w:val="0"/>
        <w:keepLines w:val="0"/>
        <w:pageBreakBefore w:val="0"/>
        <w:widowControl w:val="0"/>
        <w:kinsoku/>
        <w:wordWrap/>
        <w:overflowPunct/>
        <w:topLinePunct w:val="0"/>
        <w:autoSpaceDE/>
        <w:autoSpaceDN/>
        <w:bidi w:val="0"/>
        <w:spacing w:line="400" w:lineRule="exact"/>
        <w:ind w:firstLine="480"/>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质疑人为法人或者其他组织的，应当由法定代表人或其委托代理人（需有委托授权书）</w:t>
      </w:r>
      <w:r>
        <w:rPr>
          <w:rFonts w:hint="eastAsia" w:ascii="仿宋" w:hAnsi="仿宋" w:eastAsia="仿宋" w:cs="仿宋"/>
          <w:color w:val="auto"/>
          <w:spacing w:val="-2"/>
          <w:sz w:val="28"/>
          <w:szCs w:val="28"/>
          <w:highlight w:val="none"/>
        </w:rPr>
        <w:t>签字并加盖公章。</w:t>
      </w:r>
    </w:p>
    <w:p w14:paraId="7675F980">
      <w:pPr>
        <w:pStyle w:val="8"/>
        <w:keepNext w:val="0"/>
        <w:keepLines w:val="0"/>
        <w:pageBreakBefore w:val="0"/>
        <w:widowControl w:val="0"/>
        <w:kinsoku/>
        <w:wordWrap/>
        <w:overflowPunct/>
        <w:topLinePunct w:val="0"/>
        <w:autoSpaceDE/>
        <w:autoSpaceDN/>
        <w:bidi w:val="0"/>
        <w:spacing w:line="400" w:lineRule="exact"/>
        <w:ind w:left="4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质疑人需要修改、补充质疑材料的，应当在质疑</w:t>
      </w:r>
      <w:r>
        <w:rPr>
          <w:rFonts w:hint="eastAsia" w:ascii="仿宋" w:hAnsi="仿宋" w:eastAsia="仿宋" w:cs="仿宋"/>
          <w:color w:val="auto"/>
          <w:spacing w:val="-1"/>
          <w:sz w:val="28"/>
          <w:szCs w:val="28"/>
          <w:highlight w:val="none"/>
        </w:rPr>
        <w:t>期内提交修改或补充材料。</w:t>
      </w:r>
    </w:p>
    <w:p w14:paraId="0018C359">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27</w:t>
      </w:r>
      <w:r>
        <w:rPr>
          <w:rFonts w:hint="eastAsia" w:ascii="仿宋" w:hAnsi="仿宋" w:eastAsia="仿宋" w:cs="仿宋"/>
          <w:color w:val="auto"/>
          <w:spacing w:val="-2"/>
          <w:sz w:val="28"/>
          <w:szCs w:val="28"/>
          <w:highlight w:val="none"/>
        </w:rPr>
        <w:t>.4有下列情形之一的，不予受理：</w:t>
      </w:r>
    </w:p>
    <w:p w14:paraId="2E2B39C5">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.4.1提起质疑的主体不是参与该项目</w:t>
      </w:r>
      <w:r>
        <w:rPr>
          <w:rFonts w:hint="eastAsia" w:ascii="仿宋" w:hAnsi="仿宋" w:eastAsia="仿宋" w:cs="仿宋"/>
          <w:color w:val="auto"/>
          <w:spacing w:val="-1"/>
          <w:sz w:val="28"/>
          <w:szCs w:val="28"/>
          <w:highlight w:val="none"/>
          <w:lang w:val="en-US" w:eastAsia="zh-CN"/>
        </w:rPr>
        <w:t>遴选</w:t>
      </w:r>
      <w:r>
        <w:rPr>
          <w:rFonts w:hint="eastAsia" w:ascii="仿宋" w:hAnsi="仿宋" w:eastAsia="仿宋" w:cs="仿宋"/>
          <w:color w:val="auto"/>
          <w:spacing w:val="-1"/>
          <w:sz w:val="28"/>
          <w:szCs w:val="28"/>
          <w:highlight w:val="none"/>
        </w:rPr>
        <w:t>活动的</w:t>
      </w:r>
      <w:r>
        <w:rPr>
          <w:rFonts w:hint="eastAsia" w:ascii="仿宋" w:hAnsi="仿宋" w:eastAsia="仿宋" w:cs="仿宋"/>
          <w:color w:val="auto"/>
          <w:spacing w:val="-1"/>
          <w:sz w:val="28"/>
          <w:szCs w:val="28"/>
          <w:highlight w:val="none"/>
          <w:lang w:val="en-US" w:eastAsia="zh-CN"/>
        </w:rPr>
        <w:t>供应商</w:t>
      </w:r>
      <w:r>
        <w:rPr>
          <w:rFonts w:hint="eastAsia" w:ascii="仿宋" w:hAnsi="仿宋" w:eastAsia="仿宋" w:cs="仿宋"/>
          <w:color w:val="auto"/>
          <w:spacing w:val="-1"/>
          <w:sz w:val="28"/>
          <w:szCs w:val="28"/>
          <w:highlight w:val="none"/>
        </w:rPr>
        <w:t>；</w:t>
      </w:r>
    </w:p>
    <w:p w14:paraId="0204EC22">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27</w:t>
      </w:r>
      <w:r>
        <w:rPr>
          <w:rFonts w:hint="eastAsia" w:ascii="仿宋" w:hAnsi="仿宋" w:eastAsia="仿宋" w:cs="仿宋"/>
          <w:color w:val="auto"/>
          <w:spacing w:val="-2"/>
          <w:sz w:val="28"/>
          <w:szCs w:val="28"/>
          <w:highlight w:val="none"/>
        </w:rPr>
        <w:t>.4.2提起质疑的时间超过规定时限的；</w:t>
      </w:r>
    </w:p>
    <w:p w14:paraId="7DC197A7">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lang w:eastAsia="zh-CN"/>
        </w:rPr>
        <w:t>27</w:t>
      </w:r>
      <w:r>
        <w:rPr>
          <w:rFonts w:hint="eastAsia" w:ascii="仿宋" w:hAnsi="仿宋" w:eastAsia="仿宋" w:cs="仿宋"/>
          <w:color w:val="auto"/>
          <w:spacing w:val="-2"/>
          <w:sz w:val="28"/>
          <w:szCs w:val="28"/>
          <w:highlight w:val="none"/>
        </w:rPr>
        <w:t>.4.3质疑材料不完整的；</w:t>
      </w:r>
    </w:p>
    <w:p w14:paraId="0F8CCCB2">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.4.4质疑事项含有主观猜测等内容且未提供有效线索、难以查证的；</w:t>
      </w:r>
    </w:p>
    <w:p w14:paraId="7A206069">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.4.5对其他</w:t>
      </w:r>
      <w:r>
        <w:rPr>
          <w:rFonts w:hint="eastAsia" w:ascii="仿宋" w:hAnsi="仿宋" w:eastAsia="仿宋" w:cs="仿宋"/>
          <w:color w:val="auto"/>
          <w:spacing w:val="-1"/>
          <w:sz w:val="28"/>
          <w:szCs w:val="28"/>
          <w:highlight w:val="none"/>
          <w:lang w:val="en-US" w:eastAsia="zh-CN"/>
        </w:rPr>
        <w:t>各供应商</w:t>
      </w:r>
      <w:r>
        <w:rPr>
          <w:rFonts w:hint="eastAsia" w:ascii="仿宋" w:hAnsi="仿宋" w:eastAsia="仿宋" w:cs="仿宋"/>
          <w:color w:val="auto"/>
          <w:spacing w:val="-1"/>
          <w:sz w:val="28"/>
          <w:szCs w:val="28"/>
          <w:highlight w:val="none"/>
        </w:rPr>
        <w:t>的</w:t>
      </w:r>
      <w:r>
        <w:rPr>
          <w:rFonts w:hint="eastAsia" w:ascii="仿宋" w:hAnsi="仿宋" w:eastAsia="仿宋" w:cs="仿宋"/>
          <w:color w:val="auto"/>
          <w:spacing w:val="-1"/>
          <w:sz w:val="28"/>
          <w:szCs w:val="28"/>
          <w:highlight w:val="none"/>
          <w:lang w:val="en-US" w:eastAsia="zh-CN"/>
        </w:rPr>
        <w:t>响应</w:t>
      </w:r>
      <w:r>
        <w:rPr>
          <w:rFonts w:hint="eastAsia" w:ascii="仿宋" w:hAnsi="仿宋" w:eastAsia="仿宋" w:cs="仿宋"/>
          <w:color w:val="auto"/>
          <w:spacing w:val="-1"/>
          <w:sz w:val="28"/>
          <w:szCs w:val="28"/>
          <w:highlight w:val="none"/>
        </w:rPr>
        <w:t>文件详细内容质疑，无法提供合法来源渠道的；</w:t>
      </w:r>
    </w:p>
    <w:p w14:paraId="7A66BC87">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.4.6质疑事项已进入投诉处理、行政复议或行政诉讼程序的。</w:t>
      </w:r>
    </w:p>
    <w:p w14:paraId="1A5A1C33">
      <w:pPr>
        <w:pStyle w:val="8"/>
        <w:keepNext w:val="0"/>
        <w:keepLines w:val="0"/>
        <w:pageBreakBefore w:val="0"/>
        <w:widowControl w:val="0"/>
        <w:kinsoku/>
        <w:wordWrap/>
        <w:overflowPunct/>
        <w:topLinePunct w:val="0"/>
        <w:autoSpaceDE/>
        <w:autoSpaceDN/>
        <w:bidi w:val="0"/>
        <w:spacing w:line="400" w:lineRule="exact"/>
        <w:ind w:left="484"/>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.5经审查符合质疑条件的，自收到质疑之日起即为受理。</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w:t>
      </w:r>
      <w:r>
        <w:rPr>
          <w:rFonts w:hint="eastAsia" w:ascii="仿宋" w:hAnsi="仿宋" w:eastAsia="仿宋" w:cs="仿宋"/>
          <w:color w:val="auto"/>
          <w:spacing w:val="-1"/>
          <w:sz w:val="28"/>
          <w:szCs w:val="28"/>
          <w:highlight w:val="none"/>
          <w:lang w:eastAsia="zh-CN"/>
        </w:rPr>
        <w:t>代理机构</w:t>
      </w:r>
      <w:r>
        <w:rPr>
          <w:rFonts w:hint="eastAsia" w:ascii="仿宋" w:hAnsi="仿宋" w:eastAsia="仿宋" w:cs="仿宋"/>
          <w:color w:val="auto"/>
          <w:spacing w:val="-1"/>
          <w:sz w:val="28"/>
          <w:szCs w:val="28"/>
          <w:highlight w:val="none"/>
        </w:rPr>
        <w:t>)将</w:t>
      </w:r>
      <w:r>
        <w:rPr>
          <w:rFonts w:hint="eastAsia" w:ascii="仿宋" w:hAnsi="仿宋" w:eastAsia="仿宋" w:cs="仿宋"/>
          <w:color w:val="auto"/>
          <w:sz w:val="28"/>
          <w:szCs w:val="28"/>
          <w:highlight w:val="none"/>
        </w:rPr>
        <w:t>在质疑受理后7个工作日内作出答复或相关处理决定（需要检验、检测、鉴定、专家评审</w:t>
      </w:r>
      <w:r>
        <w:rPr>
          <w:rFonts w:hint="eastAsia" w:ascii="仿宋" w:hAnsi="仿宋" w:eastAsia="仿宋" w:cs="仿宋"/>
          <w:color w:val="auto"/>
          <w:spacing w:val="-1"/>
          <w:sz w:val="28"/>
          <w:szCs w:val="28"/>
          <w:highlight w:val="none"/>
        </w:rPr>
        <w:t>的，所需时间不计算在内</w:t>
      </w:r>
      <w:r>
        <w:rPr>
          <w:rFonts w:hint="eastAsia" w:ascii="仿宋" w:hAnsi="仿宋" w:eastAsia="仿宋" w:cs="仿宋"/>
          <w:color w:val="auto"/>
          <w:spacing w:val="7"/>
          <w:sz w:val="28"/>
          <w:szCs w:val="28"/>
          <w:highlight w:val="none"/>
        </w:rPr>
        <w:t>），</w:t>
      </w:r>
      <w:r>
        <w:rPr>
          <w:rFonts w:hint="eastAsia" w:ascii="仿宋" w:hAnsi="仿宋" w:eastAsia="仿宋" w:cs="仿宋"/>
          <w:color w:val="auto"/>
          <w:spacing w:val="-1"/>
          <w:sz w:val="28"/>
          <w:szCs w:val="28"/>
          <w:highlight w:val="none"/>
        </w:rPr>
        <w:t>并以书面形式通知质疑人，答复的内容</w:t>
      </w:r>
      <w:r>
        <w:rPr>
          <w:rFonts w:hint="eastAsia" w:ascii="仿宋" w:hAnsi="仿宋" w:eastAsia="仿宋" w:cs="仿宋"/>
          <w:color w:val="auto"/>
          <w:spacing w:val="-2"/>
          <w:sz w:val="28"/>
          <w:szCs w:val="28"/>
          <w:highlight w:val="none"/>
        </w:rPr>
        <w:t>不得涉及商业秘密。</w:t>
      </w:r>
    </w:p>
    <w:p w14:paraId="16300F8C">
      <w:pPr>
        <w:pStyle w:val="8"/>
        <w:keepNext w:val="0"/>
        <w:keepLines w:val="0"/>
        <w:pageBreakBefore w:val="0"/>
        <w:widowControl w:val="0"/>
        <w:kinsoku/>
        <w:wordWrap/>
        <w:overflowPunct/>
        <w:topLinePunct w:val="0"/>
        <w:autoSpaceDE/>
        <w:autoSpaceDN/>
        <w:bidi w:val="0"/>
        <w:spacing w:line="400" w:lineRule="exact"/>
        <w:ind w:left="2" w:firstLine="482"/>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lang w:eastAsia="zh-CN"/>
        </w:rPr>
        <w:t>27</w:t>
      </w:r>
      <w:r>
        <w:rPr>
          <w:rFonts w:hint="eastAsia" w:ascii="仿宋" w:hAnsi="仿宋" w:eastAsia="仿宋" w:cs="仿宋"/>
          <w:color w:val="auto"/>
          <w:spacing w:val="-1"/>
          <w:sz w:val="28"/>
          <w:szCs w:val="28"/>
          <w:highlight w:val="none"/>
        </w:rPr>
        <w:t>.6质疑人在答复期满前撤回质疑的，应由法定代表人或授权代表人签字确认，</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代理机构</w:t>
      </w:r>
      <w:r>
        <w:rPr>
          <w:rFonts w:hint="eastAsia" w:ascii="仿宋" w:hAnsi="仿宋" w:eastAsia="仿宋" w:cs="仿宋"/>
          <w:color w:val="auto"/>
          <w:sz w:val="28"/>
          <w:szCs w:val="28"/>
          <w:highlight w:val="none"/>
        </w:rPr>
        <w:t>)即终止质疑处理程序。质疑人不</w:t>
      </w:r>
      <w:r>
        <w:rPr>
          <w:rFonts w:hint="eastAsia" w:ascii="仿宋" w:hAnsi="仿宋" w:eastAsia="仿宋" w:cs="仿宋"/>
          <w:color w:val="auto"/>
          <w:spacing w:val="-1"/>
          <w:sz w:val="28"/>
          <w:szCs w:val="28"/>
          <w:highlight w:val="none"/>
        </w:rPr>
        <w:t>得以同一理由再次提出质疑。</w:t>
      </w:r>
    </w:p>
    <w:p w14:paraId="094AE09A">
      <w:pPr>
        <w:pStyle w:val="8"/>
        <w:keepNext w:val="0"/>
        <w:keepLines w:val="0"/>
        <w:pageBreakBefore w:val="0"/>
        <w:widowControl w:val="0"/>
        <w:kinsoku/>
        <w:wordWrap/>
        <w:overflowPunct/>
        <w:topLinePunct w:val="0"/>
        <w:autoSpaceDE/>
        <w:autoSpaceDN/>
        <w:bidi w:val="0"/>
        <w:spacing w:line="400" w:lineRule="exact"/>
        <w:ind w:left="481"/>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
          <w:sz w:val="28"/>
          <w:szCs w:val="28"/>
          <w:highlight w:val="none"/>
        </w:rPr>
        <w:t>质疑人应在答复期满后十五个工作日内提起投诉。</w:t>
      </w:r>
    </w:p>
    <w:p w14:paraId="41834AE1">
      <w:pPr>
        <w:pStyle w:val="8"/>
        <w:keepNext w:val="0"/>
        <w:keepLines w:val="0"/>
        <w:pageBreakBefore w:val="0"/>
        <w:widowControl w:val="0"/>
        <w:kinsoku/>
        <w:wordWrap/>
        <w:overflowPunct/>
        <w:topLinePunct w:val="0"/>
        <w:autoSpaceDE/>
        <w:autoSpaceDN/>
        <w:bidi w:val="0"/>
        <w:spacing w:line="400" w:lineRule="exact"/>
        <w:ind w:left="473"/>
        <w:textAlignment w:val="auto"/>
        <w:rPr>
          <w:rFonts w:hint="eastAsia" w:ascii="仿宋" w:hAnsi="仿宋" w:eastAsia="仿宋" w:cs="仿宋"/>
          <w:b/>
          <w:bCs/>
          <w:color w:val="auto"/>
          <w:spacing w:val="-2"/>
          <w:sz w:val="28"/>
          <w:szCs w:val="28"/>
          <w:highlight w:val="none"/>
          <w:lang w:val="en-US" w:eastAsia="zh-CN"/>
        </w:rPr>
      </w:pPr>
      <w:r>
        <w:rPr>
          <w:rFonts w:hint="eastAsia" w:ascii="仿宋" w:hAnsi="仿宋" w:eastAsia="仿宋" w:cs="仿宋"/>
          <w:b/>
          <w:bCs/>
          <w:color w:val="auto"/>
          <w:spacing w:val="-2"/>
          <w:sz w:val="28"/>
          <w:szCs w:val="28"/>
          <w:highlight w:val="none"/>
          <w:lang w:val="en-US" w:eastAsia="zh-CN"/>
        </w:rPr>
        <w:t>27.未尽事宜：</w:t>
      </w:r>
      <w:r>
        <w:rPr>
          <w:rFonts w:hint="eastAsia" w:ascii="仿宋" w:hAnsi="仿宋" w:eastAsia="仿宋" w:cs="仿宋"/>
          <w:b w:val="0"/>
          <w:bCs w:val="0"/>
          <w:color w:val="auto"/>
          <w:spacing w:val="-2"/>
          <w:sz w:val="28"/>
          <w:szCs w:val="28"/>
          <w:highlight w:val="none"/>
          <w:lang w:val="en-US" w:eastAsia="zh-CN"/>
        </w:rPr>
        <w:t>按法律法规的规定执行。</w:t>
      </w:r>
    </w:p>
    <w:p w14:paraId="4277E835">
      <w:pPr>
        <w:pStyle w:val="8"/>
        <w:keepNext w:val="0"/>
        <w:keepLines w:val="0"/>
        <w:pageBreakBefore w:val="0"/>
        <w:widowControl w:val="0"/>
        <w:kinsoku/>
        <w:wordWrap/>
        <w:overflowPunct/>
        <w:topLinePunct w:val="0"/>
        <w:autoSpaceDE/>
        <w:autoSpaceDN/>
        <w:bidi w:val="0"/>
        <w:spacing w:line="400" w:lineRule="exact"/>
        <w:ind w:left="473"/>
        <w:textAlignment w:val="auto"/>
        <w:rPr>
          <w:rFonts w:hint="eastAsia" w:ascii="仿宋" w:hAnsi="仿宋" w:eastAsia="仿宋" w:cs="仿宋"/>
          <w:color w:val="auto"/>
          <w:sz w:val="28"/>
          <w:szCs w:val="28"/>
          <w:highlight w:val="none"/>
          <w:lang w:val="en-US" w:eastAsia="zh-CN"/>
        </w:rPr>
      </w:pPr>
      <w:bookmarkStart w:id="7" w:name="bookmark4"/>
      <w:bookmarkEnd w:id="7"/>
      <w:r>
        <w:rPr>
          <w:rFonts w:hint="eastAsia" w:ascii="仿宋" w:hAnsi="仿宋" w:eastAsia="仿宋" w:cs="仿宋"/>
          <w:b/>
          <w:bCs/>
          <w:color w:val="auto"/>
          <w:spacing w:val="-2"/>
          <w:sz w:val="28"/>
          <w:szCs w:val="28"/>
          <w:highlight w:val="none"/>
          <w:lang w:val="en-US" w:eastAsia="zh-CN"/>
        </w:rPr>
        <w:t>28.解释权：本遴选文</w:t>
      </w:r>
      <w:r>
        <w:rPr>
          <w:rFonts w:hint="eastAsia" w:ascii="仿宋" w:hAnsi="仿宋" w:eastAsia="仿宋" w:cs="仿宋"/>
          <w:color w:val="auto"/>
          <w:spacing w:val="-1"/>
          <w:sz w:val="28"/>
          <w:szCs w:val="28"/>
          <w:highlight w:val="none"/>
        </w:rPr>
        <w:t>件的解释权属于</w:t>
      </w:r>
      <w:r>
        <w:rPr>
          <w:rFonts w:hint="eastAsia" w:ascii="仿宋" w:hAnsi="仿宋" w:eastAsia="仿宋" w:cs="仿宋"/>
          <w:color w:val="auto"/>
          <w:spacing w:val="-1"/>
          <w:sz w:val="28"/>
          <w:szCs w:val="28"/>
          <w:highlight w:val="none"/>
          <w:lang w:eastAsia="zh-CN"/>
        </w:rPr>
        <w:t>院方</w:t>
      </w:r>
      <w:r>
        <w:rPr>
          <w:rFonts w:hint="eastAsia" w:ascii="仿宋" w:hAnsi="仿宋" w:eastAsia="仿宋" w:cs="仿宋"/>
          <w:color w:val="auto"/>
          <w:spacing w:val="-1"/>
          <w:sz w:val="28"/>
          <w:szCs w:val="28"/>
          <w:highlight w:val="none"/>
        </w:rPr>
        <w:t>。</w:t>
      </w:r>
    </w:p>
    <w:p w14:paraId="77608358">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rPr>
      </w:pPr>
    </w:p>
    <w:p w14:paraId="55F51049">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p>
    <w:p w14:paraId="7343D9B7">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rPr>
      </w:pPr>
      <w:r>
        <w:rPr>
          <w:rFonts w:hint="eastAsia" w:ascii="宋体" w:hAnsi="宋体" w:eastAsia="宋体" w:cs="黑体"/>
          <w:b/>
          <w:color w:val="auto"/>
          <w:kern w:val="2"/>
          <w:sz w:val="36"/>
          <w:szCs w:val="36"/>
          <w:highlight w:val="none"/>
          <w:lang w:val="en-US" w:eastAsia="zh-CN" w:bidi="ar-SA"/>
        </w:rPr>
        <w:t xml:space="preserve">第四章 </w:t>
      </w:r>
      <w:r>
        <w:rPr>
          <w:rFonts w:hint="eastAsia" w:ascii="宋体" w:hAnsi="宋体" w:cs="黑体"/>
          <w:b/>
          <w:color w:val="auto"/>
          <w:kern w:val="2"/>
          <w:sz w:val="36"/>
          <w:szCs w:val="36"/>
          <w:highlight w:val="none"/>
          <w:lang w:val="en-US" w:eastAsia="zh-CN" w:bidi="ar-SA"/>
        </w:rPr>
        <w:t>评审标准</w:t>
      </w:r>
    </w:p>
    <w:p w14:paraId="2431E8B8">
      <w:pPr>
        <w:pStyle w:val="21"/>
        <w:keepNext w:val="0"/>
        <w:keepLines w:val="0"/>
        <w:pageBreakBefore w:val="0"/>
        <w:kinsoku/>
        <w:wordWrap/>
        <w:overflowPunct/>
        <w:topLinePunct w:val="0"/>
        <w:bidi w:val="0"/>
        <w:snapToGrid/>
        <w:spacing w:line="400" w:lineRule="exact"/>
        <w:ind w:firstLine="558" w:firstLineChars="20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一、资格性审查</w:t>
      </w:r>
    </w:p>
    <w:p w14:paraId="30EEE1EE">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评审小组按照下列指标对各供应商进行资格审查，未通过评审的为无效标，不再参与评审。</w:t>
      </w:r>
    </w:p>
    <w:tbl>
      <w:tblPr>
        <w:tblStyle w:val="17"/>
        <w:tblW w:w="5183" w:type="pct"/>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51"/>
        <w:gridCol w:w="3805"/>
        <w:gridCol w:w="4558"/>
      </w:tblGrid>
      <w:tr w14:paraId="12F0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 w:hRule="atLeast"/>
        </w:trPr>
        <w:tc>
          <w:tcPr>
            <w:tcW w:w="1050" w:type="dxa"/>
            <w:noWrap w:val="0"/>
            <w:vAlign w:val="center"/>
          </w:tcPr>
          <w:p w14:paraId="7C52A2FE">
            <w:pPr>
              <w:pStyle w:val="21"/>
              <w:keepNext w:val="0"/>
              <w:keepLines w:val="0"/>
              <w:pageBreakBefore w:val="0"/>
              <w:kinsoku/>
              <w:wordWrap/>
              <w:overflowPunct/>
              <w:topLinePunct w:val="0"/>
              <w:bidi w:val="0"/>
              <w:snapToGrid/>
              <w:spacing w:line="400" w:lineRule="exact"/>
              <w:jc w:val="center"/>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序号</w:t>
            </w:r>
          </w:p>
        </w:tc>
        <w:tc>
          <w:tcPr>
            <w:tcW w:w="3801" w:type="dxa"/>
            <w:noWrap w:val="0"/>
            <w:vAlign w:val="center"/>
          </w:tcPr>
          <w:p w14:paraId="39CEB403">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资格审查因素</w:t>
            </w:r>
          </w:p>
        </w:tc>
        <w:tc>
          <w:tcPr>
            <w:tcW w:w="4554" w:type="dxa"/>
            <w:noWrap w:val="0"/>
            <w:vAlign w:val="center"/>
          </w:tcPr>
          <w:p w14:paraId="07BA81E3">
            <w:pPr>
              <w:pStyle w:val="21"/>
              <w:keepNext w:val="0"/>
              <w:keepLines w:val="0"/>
              <w:pageBreakBefore w:val="0"/>
              <w:kinsoku/>
              <w:wordWrap/>
              <w:overflowPunct/>
              <w:topLinePunct w:val="0"/>
              <w:bidi w:val="0"/>
              <w:snapToGrid/>
              <w:spacing w:line="400" w:lineRule="exact"/>
              <w:jc w:val="center"/>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资格审查标准</w:t>
            </w:r>
          </w:p>
        </w:tc>
      </w:tr>
      <w:tr w14:paraId="6CCD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50" w:type="dxa"/>
            <w:noWrap w:val="0"/>
            <w:vAlign w:val="center"/>
          </w:tcPr>
          <w:p w14:paraId="11730E69">
            <w:pPr>
              <w:pStyle w:val="21"/>
              <w:keepNext w:val="0"/>
              <w:keepLines w:val="0"/>
              <w:pageBreakBefore w:val="0"/>
              <w:kinsoku/>
              <w:wordWrap/>
              <w:overflowPunct/>
              <w:topLinePunct w:val="0"/>
              <w:bidi w:val="0"/>
              <w:snapToGrid/>
              <w:spacing w:line="400" w:lineRule="exact"/>
              <w:jc w:val="center"/>
              <w:textAlignment w:val="auto"/>
              <w:rPr>
                <w:rFonts w:hint="default"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1</w:t>
            </w:r>
          </w:p>
        </w:tc>
        <w:tc>
          <w:tcPr>
            <w:tcW w:w="3801" w:type="dxa"/>
            <w:noWrap w:val="0"/>
            <w:vAlign w:val="center"/>
          </w:tcPr>
          <w:p w14:paraId="3BA7EFF5">
            <w:pPr>
              <w:keepNext w:val="0"/>
              <w:keepLines w:val="0"/>
              <w:pageBreakBefore w:val="0"/>
              <w:widowControl w:val="0"/>
              <w:kinsoku/>
              <w:wordWrap/>
              <w:overflowPunct/>
              <w:topLinePunct w:val="0"/>
              <w:autoSpaceDE/>
              <w:autoSpaceDN/>
              <w:bidi w:val="0"/>
              <w:adjustRightInd/>
              <w:snapToGrid/>
              <w:spacing w:line="400" w:lineRule="exact"/>
              <w:ind w:right="87" w:rightChars="0"/>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color w:val="auto"/>
                <w:spacing w:val="1"/>
                <w:sz w:val="28"/>
                <w:szCs w:val="28"/>
                <w:highlight w:val="none"/>
                <w:lang w:eastAsia="zh-CN"/>
              </w:rPr>
              <w:t>具有独立承担民事责任的能力</w:t>
            </w:r>
          </w:p>
        </w:tc>
        <w:tc>
          <w:tcPr>
            <w:tcW w:w="4554" w:type="dxa"/>
            <w:noWrap w:val="0"/>
            <w:vAlign w:val="center"/>
          </w:tcPr>
          <w:p w14:paraId="1F9CFFD0">
            <w:pPr>
              <w:pStyle w:val="21"/>
              <w:keepNext w:val="0"/>
              <w:keepLines w:val="0"/>
              <w:pageBreakBefore w:val="0"/>
              <w:kinsoku/>
              <w:wordWrap/>
              <w:overflowPunct/>
              <w:topLinePunct w:val="0"/>
              <w:bidi w:val="0"/>
              <w:snapToGrid/>
              <w:spacing w:line="400" w:lineRule="exact"/>
              <w:textAlignment w:val="auto"/>
              <w:rPr>
                <w:rFonts w:hint="default"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提供营业执照复印件并加盖公章。以分公司名义参与本项目的，分公司须经总公司授权，但其民事责任由总公司承担</w:t>
            </w:r>
          </w:p>
        </w:tc>
      </w:tr>
      <w:tr w14:paraId="5396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trPr>
        <w:tc>
          <w:tcPr>
            <w:tcW w:w="1050" w:type="dxa"/>
            <w:noWrap w:val="0"/>
            <w:vAlign w:val="center"/>
          </w:tcPr>
          <w:p w14:paraId="2AD69415">
            <w:pPr>
              <w:pStyle w:val="21"/>
              <w:keepNext w:val="0"/>
              <w:keepLines w:val="0"/>
              <w:pageBreakBefore w:val="0"/>
              <w:kinsoku/>
              <w:wordWrap/>
              <w:overflowPunct/>
              <w:topLinePunct w:val="0"/>
              <w:bidi w:val="0"/>
              <w:snapToGrid/>
              <w:spacing w:line="400" w:lineRule="exact"/>
              <w:jc w:val="center"/>
              <w:textAlignment w:val="auto"/>
              <w:rPr>
                <w:rFonts w:hint="default"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2</w:t>
            </w:r>
          </w:p>
        </w:tc>
        <w:tc>
          <w:tcPr>
            <w:tcW w:w="3801" w:type="dxa"/>
            <w:noWrap w:val="0"/>
            <w:vAlign w:val="center"/>
          </w:tcPr>
          <w:p w14:paraId="04F9878E">
            <w:pPr>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供应商须具备快递业务经营许可资格</w:t>
            </w:r>
          </w:p>
        </w:tc>
        <w:tc>
          <w:tcPr>
            <w:tcW w:w="4554" w:type="dxa"/>
            <w:noWrap w:val="0"/>
            <w:vAlign w:val="center"/>
          </w:tcPr>
          <w:p w14:paraId="55E22BDD">
            <w:pPr>
              <w:pStyle w:val="21"/>
              <w:keepNext w:val="0"/>
              <w:keepLines w:val="0"/>
              <w:pageBreakBefore w:val="0"/>
              <w:kinsoku/>
              <w:wordWrap/>
              <w:overflowPunct/>
              <w:topLinePunct w:val="0"/>
              <w:bidi w:val="0"/>
              <w:snapToGrid/>
              <w:spacing w:line="400" w:lineRule="exact"/>
              <w:textAlignment w:val="auto"/>
              <w:rPr>
                <w:rFonts w:hint="default"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color w:val="auto"/>
                <w:spacing w:val="1"/>
                <w:sz w:val="28"/>
                <w:szCs w:val="28"/>
                <w:highlight w:val="none"/>
                <w:lang w:val="en-US" w:eastAsia="zh-CN"/>
              </w:rPr>
              <w:t>提供许可证复印件并加盖公章</w:t>
            </w:r>
          </w:p>
        </w:tc>
      </w:tr>
    </w:tbl>
    <w:p w14:paraId="2E560988">
      <w:pPr>
        <w:pStyle w:val="21"/>
        <w:keepNext w:val="0"/>
        <w:keepLines w:val="0"/>
        <w:pageBreakBefore w:val="0"/>
        <w:kinsoku/>
        <w:wordWrap/>
        <w:overflowPunct/>
        <w:topLinePunct w:val="0"/>
        <w:bidi w:val="0"/>
        <w:snapToGrid/>
        <w:spacing w:line="400" w:lineRule="exact"/>
        <w:ind w:firstLine="558" w:firstLineChars="20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二、符合性审查</w:t>
      </w:r>
    </w:p>
    <w:p w14:paraId="482D2FE2">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评审小组按照下列指标对各供应商进行符合性审查，未通过评审的为无效标，不再参与评审。</w:t>
      </w:r>
    </w:p>
    <w:tbl>
      <w:tblPr>
        <w:tblStyle w:val="17"/>
        <w:tblW w:w="5143" w:type="pct"/>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39"/>
        <w:gridCol w:w="2893"/>
        <w:gridCol w:w="5010"/>
      </w:tblGrid>
      <w:tr w14:paraId="6018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1438" w:type="dxa"/>
            <w:noWrap w:val="0"/>
            <w:vAlign w:val="center"/>
          </w:tcPr>
          <w:p w14:paraId="3348A4A3">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符合性要求</w:t>
            </w:r>
          </w:p>
        </w:tc>
        <w:tc>
          <w:tcPr>
            <w:tcW w:w="2890" w:type="dxa"/>
            <w:noWrap w:val="0"/>
            <w:vAlign w:val="center"/>
          </w:tcPr>
          <w:p w14:paraId="2726E954">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符合性审查因素</w:t>
            </w:r>
          </w:p>
        </w:tc>
        <w:tc>
          <w:tcPr>
            <w:tcW w:w="5005" w:type="dxa"/>
            <w:noWrap w:val="0"/>
            <w:vAlign w:val="center"/>
          </w:tcPr>
          <w:p w14:paraId="4322B17F">
            <w:pPr>
              <w:pStyle w:val="21"/>
              <w:keepNext w:val="0"/>
              <w:keepLines w:val="0"/>
              <w:pageBreakBefore w:val="0"/>
              <w:kinsoku/>
              <w:wordWrap/>
              <w:overflowPunct/>
              <w:topLinePunct w:val="0"/>
              <w:bidi w:val="0"/>
              <w:snapToGrid/>
              <w:spacing w:line="400" w:lineRule="exact"/>
              <w:jc w:val="center"/>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评审标准</w:t>
            </w:r>
          </w:p>
        </w:tc>
      </w:tr>
      <w:tr w14:paraId="588D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1438" w:type="dxa"/>
            <w:noWrap w:val="0"/>
            <w:vAlign w:val="center"/>
          </w:tcPr>
          <w:p w14:paraId="5CD75145">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报价要求</w:t>
            </w:r>
          </w:p>
        </w:tc>
        <w:tc>
          <w:tcPr>
            <w:tcW w:w="2890" w:type="dxa"/>
            <w:noWrap w:val="0"/>
            <w:vAlign w:val="center"/>
          </w:tcPr>
          <w:p w14:paraId="32309044">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报价表</w:t>
            </w:r>
          </w:p>
        </w:tc>
        <w:tc>
          <w:tcPr>
            <w:tcW w:w="5005" w:type="dxa"/>
            <w:noWrap w:val="0"/>
            <w:vAlign w:val="center"/>
          </w:tcPr>
          <w:p w14:paraId="3F656062">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填写要求符合遴选文件规定</w:t>
            </w:r>
          </w:p>
        </w:tc>
      </w:tr>
      <w:tr w14:paraId="7D32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1438" w:type="dxa"/>
            <w:vMerge w:val="restart"/>
            <w:noWrap w:val="0"/>
            <w:vAlign w:val="center"/>
          </w:tcPr>
          <w:p w14:paraId="4D3CD5F8">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商务要求</w:t>
            </w:r>
          </w:p>
        </w:tc>
        <w:tc>
          <w:tcPr>
            <w:tcW w:w="2890" w:type="dxa"/>
            <w:noWrap w:val="0"/>
            <w:vAlign w:val="center"/>
          </w:tcPr>
          <w:p w14:paraId="0E070051">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响应函</w:t>
            </w:r>
          </w:p>
        </w:tc>
        <w:tc>
          <w:tcPr>
            <w:tcW w:w="5005" w:type="dxa"/>
            <w:noWrap w:val="0"/>
            <w:vAlign w:val="center"/>
          </w:tcPr>
          <w:p w14:paraId="23783BF2">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内容符合遴选文件要求</w:t>
            </w:r>
          </w:p>
        </w:tc>
      </w:tr>
      <w:tr w14:paraId="3796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 w:hRule="atLeast"/>
        </w:trPr>
        <w:tc>
          <w:tcPr>
            <w:tcW w:w="1438" w:type="dxa"/>
            <w:vMerge w:val="continue"/>
            <w:noWrap w:val="0"/>
            <w:vAlign w:val="center"/>
          </w:tcPr>
          <w:p w14:paraId="3463A144">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p>
        </w:tc>
        <w:tc>
          <w:tcPr>
            <w:tcW w:w="2890" w:type="dxa"/>
            <w:noWrap w:val="0"/>
            <w:vAlign w:val="center"/>
          </w:tcPr>
          <w:p w14:paraId="3DD418CE">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法定代表人授权委托书及委托代理人的身份证</w:t>
            </w:r>
          </w:p>
        </w:tc>
        <w:tc>
          <w:tcPr>
            <w:tcW w:w="5005" w:type="dxa"/>
            <w:noWrap w:val="0"/>
            <w:vAlign w:val="center"/>
          </w:tcPr>
          <w:p w14:paraId="4259E132">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内容符合遴选文件要求</w:t>
            </w:r>
          </w:p>
        </w:tc>
      </w:tr>
      <w:tr w14:paraId="351C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1438" w:type="dxa"/>
            <w:vMerge w:val="continue"/>
            <w:noWrap w:val="0"/>
            <w:vAlign w:val="center"/>
          </w:tcPr>
          <w:p w14:paraId="380C1480">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b w:val="0"/>
                <w:bCs w:val="0"/>
                <w:color w:val="auto"/>
                <w:spacing w:val="-1"/>
                <w:kern w:val="2"/>
                <w:sz w:val="28"/>
                <w:szCs w:val="28"/>
                <w:highlight w:val="none"/>
                <w:lang w:val="en-US" w:eastAsia="zh-CN" w:bidi="ar-SA"/>
              </w:rPr>
            </w:pPr>
          </w:p>
        </w:tc>
        <w:tc>
          <w:tcPr>
            <w:tcW w:w="2890" w:type="dxa"/>
            <w:noWrap w:val="0"/>
            <w:vAlign w:val="center"/>
          </w:tcPr>
          <w:p w14:paraId="3239C87E">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响应文件签署、盖章齐全完整</w:t>
            </w:r>
          </w:p>
        </w:tc>
        <w:tc>
          <w:tcPr>
            <w:tcW w:w="5005" w:type="dxa"/>
            <w:noWrap w:val="0"/>
            <w:vAlign w:val="center"/>
          </w:tcPr>
          <w:p w14:paraId="57C7B1FE">
            <w:pPr>
              <w:pStyle w:val="21"/>
              <w:keepNext w:val="0"/>
              <w:keepLines w:val="0"/>
              <w:pageBreakBefore w:val="0"/>
              <w:kinsoku/>
              <w:wordWrap/>
              <w:overflowPunct/>
              <w:topLinePunct w:val="0"/>
              <w:bidi w:val="0"/>
              <w:snapToGrid/>
              <w:spacing w:line="400" w:lineRule="exact"/>
              <w:textAlignment w:val="auto"/>
              <w:rPr>
                <w:rFonts w:hint="eastAsia" w:ascii="仿宋" w:hAnsi="仿宋" w:eastAsia="仿宋" w:cs="仿宋"/>
                <w:b w:val="0"/>
                <w:bCs w:val="0"/>
                <w:color w:val="auto"/>
                <w:spacing w:val="-1"/>
                <w:kern w:val="2"/>
                <w:sz w:val="28"/>
                <w:szCs w:val="28"/>
                <w:highlight w:val="none"/>
                <w:lang w:val="en-US" w:eastAsia="zh-CN" w:bidi="ar-SA"/>
              </w:rPr>
            </w:pPr>
            <w:r>
              <w:rPr>
                <w:rFonts w:hint="eastAsia" w:ascii="仿宋" w:hAnsi="仿宋" w:eastAsia="仿宋" w:cs="仿宋"/>
                <w:b w:val="0"/>
                <w:bCs w:val="0"/>
                <w:color w:val="auto"/>
                <w:spacing w:val="-1"/>
                <w:kern w:val="2"/>
                <w:sz w:val="28"/>
                <w:szCs w:val="28"/>
                <w:highlight w:val="none"/>
                <w:lang w:val="en-US" w:eastAsia="zh-CN" w:bidi="ar-SA"/>
              </w:rPr>
              <w:t>符合遴选文件要求</w:t>
            </w:r>
          </w:p>
        </w:tc>
      </w:tr>
    </w:tbl>
    <w:p w14:paraId="18C50111">
      <w:pPr>
        <w:pStyle w:val="21"/>
        <w:keepNext w:val="0"/>
        <w:keepLines w:val="0"/>
        <w:pageBreakBefore w:val="0"/>
        <w:kinsoku/>
        <w:wordWrap/>
        <w:overflowPunct/>
        <w:topLinePunct w:val="0"/>
        <w:bidi w:val="0"/>
        <w:snapToGrid/>
        <w:spacing w:line="400" w:lineRule="exact"/>
        <w:ind w:firstLine="558" w:firstLineChars="20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三、详细评审</w:t>
      </w:r>
    </w:p>
    <w:p w14:paraId="736DAE2B">
      <w:pPr>
        <w:pStyle w:val="21"/>
        <w:keepNext w:val="0"/>
        <w:keepLines w:val="0"/>
        <w:pageBreakBefore w:val="0"/>
        <w:kinsoku/>
        <w:wordWrap/>
        <w:overflowPunct/>
        <w:topLinePunct w:val="0"/>
        <w:bidi w:val="0"/>
        <w:snapToGrid/>
        <w:spacing w:line="400" w:lineRule="exact"/>
        <w:ind w:firstLine="558" w:firstLineChars="20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（一）评审方法说明</w:t>
      </w:r>
    </w:p>
    <w:p w14:paraId="2F095B6B">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采用综合评分法，对满足遴选文件全部实质性要求的响应文件按评审因素的量化指标评审总分对供应商进行排序。</w:t>
      </w:r>
    </w:p>
    <w:p w14:paraId="1AC9F96C">
      <w:pPr>
        <w:pStyle w:val="21"/>
        <w:keepNext w:val="0"/>
        <w:keepLines w:val="0"/>
        <w:pageBreakBefore w:val="0"/>
        <w:kinsoku/>
        <w:wordWrap/>
        <w:overflowPunct/>
        <w:topLinePunct w:val="0"/>
        <w:bidi w:val="0"/>
        <w:snapToGrid/>
        <w:spacing w:line="400" w:lineRule="exact"/>
        <w:ind w:firstLine="556" w:firstLineChars="200"/>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评审小组按照评审总分由高到低顺序推荐3名中标候选供应商，并编写评审报告。评审得分相同的，按照</w:t>
      </w:r>
      <w:r>
        <w:rPr>
          <w:rFonts w:hint="eastAsia" w:ascii="仿宋" w:hAnsi="仿宋" w:eastAsia="仿宋" w:cs="仿宋"/>
          <w:color w:val="auto"/>
          <w:sz w:val="28"/>
          <w:szCs w:val="28"/>
          <w:highlight w:val="none"/>
          <w:lang w:val="zh-CN" w:eastAsia="zh-CN"/>
        </w:rPr>
        <w:t>南京范围内</w:t>
      </w:r>
      <w:r>
        <w:rPr>
          <w:rFonts w:hint="eastAsia" w:ascii="仿宋" w:hAnsi="仿宋" w:eastAsia="仿宋" w:cs="仿宋"/>
          <w:color w:val="auto"/>
          <w:sz w:val="28"/>
          <w:szCs w:val="28"/>
          <w:highlight w:val="none"/>
          <w:lang w:val="en-US" w:eastAsia="zh-CN"/>
        </w:rPr>
        <w:t>首重</w:t>
      </w:r>
      <w:r>
        <w:rPr>
          <w:rFonts w:hint="eastAsia" w:ascii="仿宋" w:hAnsi="仿宋" w:eastAsia="仿宋" w:cs="仿宋"/>
          <w:color w:val="auto"/>
          <w:sz w:val="28"/>
          <w:szCs w:val="28"/>
          <w:highlight w:val="none"/>
          <w:lang w:val="zh-CN" w:eastAsia="zh-CN"/>
        </w:rPr>
        <w:t>报价得分</w:t>
      </w:r>
      <w:r>
        <w:rPr>
          <w:rFonts w:hint="eastAsia" w:ascii="仿宋" w:hAnsi="仿宋" w:eastAsia="仿宋" w:cs="仿宋"/>
          <w:color w:val="auto"/>
          <w:spacing w:val="-1"/>
          <w:kern w:val="2"/>
          <w:sz w:val="28"/>
          <w:szCs w:val="28"/>
          <w:highlight w:val="none"/>
          <w:lang w:val="en-US" w:eastAsia="zh-CN" w:bidi="ar-SA"/>
        </w:rPr>
        <w:t>由高到低的顺序推荐；评审得分、</w:t>
      </w:r>
      <w:r>
        <w:rPr>
          <w:rFonts w:hint="eastAsia" w:ascii="仿宋" w:hAnsi="仿宋" w:eastAsia="仿宋" w:cs="仿宋"/>
          <w:color w:val="auto"/>
          <w:sz w:val="28"/>
          <w:szCs w:val="28"/>
          <w:highlight w:val="none"/>
          <w:lang w:val="zh-CN" w:eastAsia="zh-CN"/>
        </w:rPr>
        <w:t>南京范围内</w:t>
      </w:r>
      <w:r>
        <w:rPr>
          <w:rFonts w:hint="eastAsia" w:ascii="仿宋" w:hAnsi="仿宋" w:eastAsia="仿宋" w:cs="仿宋"/>
          <w:color w:val="auto"/>
          <w:sz w:val="28"/>
          <w:szCs w:val="28"/>
          <w:highlight w:val="none"/>
          <w:lang w:val="en-US" w:eastAsia="zh-CN"/>
        </w:rPr>
        <w:t>首重</w:t>
      </w:r>
      <w:r>
        <w:rPr>
          <w:rFonts w:hint="eastAsia" w:ascii="仿宋" w:hAnsi="仿宋" w:eastAsia="仿宋" w:cs="仿宋"/>
          <w:color w:val="auto"/>
          <w:sz w:val="28"/>
          <w:szCs w:val="28"/>
          <w:highlight w:val="none"/>
          <w:lang w:val="zh-CN" w:eastAsia="zh-CN"/>
        </w:rPr>
        <w:t>报价</w:t>
      </w:r>
      <w:r>
        <w:rPr>
          <w:rFonts w:hint="eastAsia" w:ascii="仿宋" w:hAnsi="仿宋" w:eastAsia="仿宋" w:cs="仿宋"/>
          <w:color w:val="auto"/>
          <w:spacing w:val="-1"/>
          <w:kern w:val="2"/>
          <w:sz w:val="28"/>
          <w:szCs w:val="28"/>
          <w:highlight w:val="none"/>
          <w:lang w:val="en-US" w:eastAsia="zh-CN" w:bidi="ar-SA"/>
        </w:rPr>
        <w:t>均相同，以抽签方式确定。</w:t>
      </w:r>
    </w:p>
    <w:p w14:paraId="48D59544">
      <w:pPr>
        <w:pStyle w:val="21"/>
        <w:keepNext w:val="0"/>
        <w:keepLines w:val="0"/>
        <w:pageBreakBefore w:val="0"/>
        <w:numPr>
          <w:ilvl w:val="0"/>
          <w:numId w:val="0"/>
        </w:numPr>
        <w:kinsoku/>
        <w:wordWrap/>
        <w:overflowPunct/>
        <w:topLinePunct w:val="0"/>
        <w:bidi w:val="0"/>
        <w:snapToGrid/>
        <w:spacing w:line="400" w:lineRule="exact"/>
        <w:ind w:firstLine="558" w:firstLineChars="20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（二）评分表</w:t>
      </w:r>
    </w:p>
    <w:tbl>
      <w:tblPr>
        <w:tblStyle w:val="17"/>
        <w:tblW w:w="55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1133"/>
        <w:gridCol w:w="711"/>
        <w:gridCol w:w="7715"/>
      </w:tblGrid>
      <w:tr w14:paraId="6738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400" w:type="pct"/>
            <w:noWrap w:val="0"/>
            <w:vAlign w:val="center"/>
          </w:tcPr>
          <w:p w14:paraId="151BE36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序号</w:t>
            </w:r>
          </w:p>
        </w:tc>
        <w:tc>
          <w:tcPr>
            <w:tcW w:w="544" w:type="pct"/>
            <w:noWrap w:val="0"/>
            <w:vAlign w:val="center"/>
          </w:tcPr>
          <w:p w14:paraId="4E667B5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评分项目</w:t>
            </w:r>
          </w:p>
        </w:tc>
        <w:tc>
          <w:tcPr>
            <w:tcW w:w="342" w:type="pct"/>
            <w:noWrap w:val="0"/>
            <w:vAlign w:val="center"/>
          </w:tcPr>
          <w:p w14:paraId="066E5B1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分值</w:t>
            </w:r>
          </w:p>
        </w:tc>
        <w:tc>
          <w:tcPr>
            <w:tcW w:w="3712" w:type="pct"/>
            <w:noWrap w:val="0"/>
            <w:vAlign w:val="center"/>
          </w:tcPr>
          <w:p w14:paraId="5E05013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评分办法</w:t>
            </w:r>
          </w:p>
        </w:tc>
      </w:tr>
      <w:tr w14:paraId="617F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400" w:type="pct"/>
            <w:noWrap w:val="0"/>
            <w:vAlign w:val="center"/>
          </w:tcPr>
          <w:p w14:paraId="133C400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w:t>
            </w:r>
          </w:p>
        </w:tc>
        <w:tc>
          <w:tcPr>
            <w:tcW w:w="544" w:type="pct"/>
            <w:vMerge w:val="restart"/>
            <w:noWrap w:val="0"/>
            <w:vAlign w:val="center"/>
          </w:tcPr>
          <w:p w14:paraId="678A123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eastAsia="zh-CN"/>
              </w:rPr>
              <w:t>南京范围内报价</w:t>
            </w:r>
          </w:p>
        </w:tc>
        <w:tc>
          <w:tcPr>
            <w:tcW w:w="342" w:type="pct"/>
            <w:noWrap w:val="0"/>
            <w:vAlign w:val="center"/>
          </w:tcPr>
          <w:p w14:paraId="43F265FD">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45分</w:t>
            </w:r>
          </w:p>
        </w:tc>
        <w:tc>
          <w:tcPr>
            <w:tcW w:w="3712" w:type="pct"/>
            <w:noWrap w:val="0"/>
            <w:vAlign w:val="center"/>
          </w:tcPr>
          <w:p w14:paraId="3216093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首重：不得高于12.00元/KG。</w:t>
            </w:r>
          </w:p>
          <w:p w14:paraId="32AA96F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val="en-US" w:eastAsia="zh-CN"/>
              </w:rPr>
              <w:t>采用低价优先法计算，即满足遴选文件基本要求，报价最低的为评标基准价且为满分。其他投标人的价格分按照下列公式计算（小数点保留二位）；首重报价得分=（评标基准价/投标报价）×45分（小数点保留两位）</w:t>
            </w:r>
          </w:p>
        </w:tc>
      </w:tr>
      <w:tr w14:paraId="1F7C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400" w:type="pct"/>
            <w:noWrap w:val="0"/>
            <w:vAlign w:val="center"/>
          </w:tcPr>
          <w:p w14:paraId="685D3D8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p>
        </w:tc>
        <w:tc>
          <w:tcPr>
            <w:tcW w:w="544" w:type="pct"/>
            <w:vMerge w:val="continue"/>
            <w:noWrap w:val="0"/>
            <w:vAlign w:val="center"/>
          </w:tcPr>
          <w:p w14:paraId="15B902E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en-US" w:eastAsia="zh-CN"/>
              </w:rPr>
            </w:pPr>
          </w:p>
        </w:tc>
        <w:tc>
          <w:tcPr>
            <w:tcW w:w="342" w:type="pct"/>
            <w:noWrap w:val="0"/>
            <w:vAlign w:val="center"/>
          </w:tcPr>
          <w:p w14:paraId="4F3F217B">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10分</w:t>
            </w:r>
          </w:p>
        </w:tc>
        <w:tc>
          <w:tcPr>
            <w:tcW w:w="3712" w:type="pct"/>
            <w:noWrap w:val="0"/>
            <w:vAlign w:val="center"/>
          </w:tcPr>
          <w:p w14:paraId="6502264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续重：不得高于2.00元/KG。</w:t>
            </w:r>
          </w:p>
          <w:p w14:paraId="4C48757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采用低价优先法计算，即满足遴选文件基本要求，报价最低的为评标基准价且为满分。其他投标人的价格分按照下列公式计算（小数点保留二位）；续重报价得分=（评标基准价/投标报价）×10分（小数点保留两位）</w:t>
            </w:r>
          </w:p>
        </w:tc>
      </w:tr>
      <w:tr w14:paraId="0BE1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noWrap w:val="0"/>
            <w:vAlign w:val="center"/>
          </w:tcPr>
          <w:p w14:paraId="286B577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w:t>
            </w:r>
          </w:p>
        </w:tc>
        <w:tc>
          <w:tcPr>
            <w:tcW w:w="544" w:type="pct"/>
            <w:noWrap w:val="0"/>
            <w:vAlign w:val="center"/>
          </w:tcPr>
          <w:p w14:paraId="1D26BE32">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无人快递车使用费</w:t>
            </w:r>
          </w:p>
        </w:tc>
        <w:tc>
          <w:tcPr>
            <w:tcW w:w="342" w:type="pct"/>
            <w:noWrap w:val="0"/>
            <w:vAlign w:val="center"/>
          </w:tcPr>
          <w:p w14:paraId="3EAB17D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45分</w:t>
            </w:r>
          </w:p>
        </w:tc>
        <w:tc>
          <w:tcPr>
            <w:tcW w:w="3712" w:type="pct"/>
            <w:noWrap w:val="0"/>
            <w:vAlign w:val="center"/>
          </w:tcPr>
          <w:p w14:paraId="6878BD8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无人快递车使用费由各供应商结合全部运营路线综合测算，统一折算为单价：XX元/次/条路线进行报价。</w:t>
            </w:r>
          </w:p>
          <w:p w14:paraId="71557DF4">
            <w:pPr>
              <w:keepNext w:val="0"/>
              <w:keepLines w:val="0"/>
              <w:pageBreakBefore w:val="0"/>
              <w:kinsoku/>
              <w:wordWrap/>
              <w:overflowPunct/>
              <w:topLinePunct w:val="0"/>
              <w:autoSpaceDE/>
              <w:autoSpaceDN/>
              <w:bidi w:val="0"/>
              <w:adjustRightInd/>
              <w:snapToGrid/>
              <w:spacing w:line="400" w:lineRule="exac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采用低价优先法计算，即满足遴选文件基本要求，报价最低的为评标基准价且为满分。其他投标人的价格分按照下列公式计算（小数点保留二位）；无人快递车使用费报价得分=（评标基准价/投标报价）×45分（小数点保留两位）</w:t>
            </w:r>
          </w:p>
        </w:tc>
      </w:tr>
      <w:tr w14:paraId="3139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0" w:type="pct"/>
            <w:noWrap w:val="0"/>
            <w:vAlign w:val="center"/>
          </w:tcPr>
          <w:p w14:paraId="0E774C76">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p>
        </w:tc>
        <w:tc>
          <w:tcPr>
            <w:tcW w:w="4599" w:type="pct"/>
            <w:gridSpan w:val="3"/>
            <w:noWrap w:val="0"/>
            <w:vAlign w:val="center"/>
          </w:tcPr>
          <w:p w14:paraId="4C3A42F6">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w:t>
            </w:r>
          </w:p>
          <w:p w14:paraId="6288444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（1）包装耗材收费标准按照供应商企业市场统一标准执行：纸箱、泡沫箱按标准收取耗材费用；打包袋、冰袋、缓冲材料由供应商免费提供，不另行计费。</w:t>
            </w:r>
          </w:p>
          <w:p w14:paraId="16AA7D59">
            <w:pPr>
              <w:keepNext w:val="0"/>
              <w:keepLines w:val="0"/>
              <w:pageBreakBefore w:val="0"/>
              <w:kinsoku/>
              <w:wordWrap/>
              <w:overflowPunct/>
              <w:topLinePunct w:val="0"/>
              <w:autoSpaceDE/>
              <w:autoSpaceDN/>
              <w:bidi w:val="0"/>
              <w:adjustRightInd/>
              <w:snapToGrid/>
              <w:spacing w:line="400" w:lineRule="exact"/>
              <w:textAlignment w:val="auto"/>
              <w:rPr>
                <w:rFonts w:hint="default"/>
                <w:lang w:val="en-US" w:eastAsia="zh-CN"/>
              </w:rPr>
            </w:pPr>
            <w:r>
              <w:rPr>
                <w:rFonts w:hint="eastAsia" w:ascii="仿宋" w:hAnsi="仿宋" w:eastAsia="仿宋" w:cs="仿宋"/>
                <w:color w:val="auto"/>
                <w:sz w:val="28"/>
                <w:szCs w:val="28"/>
                <w:highlight w:val="none"/>
                <w:lang w:val="en-US" w:eastAsia="zh-CN"/>
              </w:rPr>
              <w:t>（2）南京市以外地区快件资费，按供应商企业统一公开标准执行。</w:t>
            </w:r>
          </w:p>
        </w:tc>
      </w:tr>
      <w:tr w14:paraId="3DF4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45" w:type="pct"/>
            <w:gridSpan w:val="2"/>
            <w:noWrap w:val="0"/>
            <w:vAlign w:val="center"/>
          </w:tcPr>
          <w:p w14:paraId="1EE111C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合计</w:t>
            </w:r>
          </w:p>
        </w:tc>
        <w:tc>
          <w:tcPr>
            <w:tcW w:w="4054" w:type="pct"/>
            <w:gridSpan w:val="2"/>
            <w:noWrap w:val="0"/>
            <w:vAlign w:val="center"/>
          </w:tcPr>
          <w:p w14:paraId="53984ED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100分</w:t>
            </w:r>
          </w:p>
        </w:tc>
      </w:tr>
    </w:tbl>
    <w:p w14:paraId="4CA5D46A">
      <w:pPr>
        <w:pStyle w:val="21"/>
        <w:keepNext w:val="0"/>
        <w:keepLines w:val="0"/>
        <w:pageBreakBefore w:val="0"/>
        <w:numPr>
          <w:ilvl w:val="0"/>
          <w:numId w:val="0"/>
        </w:numPr>
        <w:kinsoku/>
        <w:wordWrap/>
        <w:overflowPunct/>
        <w:topLinePunct w:val="0"/>
        <w:bidi w:val="0"/>
        <w:snapToGrid/>
        <w:spacing w:line="400" w:lineRule="exact"/>
        <w:textAlignment w:val="auto"/>
        <w:rPr>
          <w:rFonts w:hint="default" w:ascii="仿宋" w:hAnsi="仿宋" w:eastAsia="仿宋" w:cs="仿宋"/>
          <w:b/>
          <w:bCs/>
          <w:color w:val="auto"/>
          <w:spacing w:val="-1"/>
          <w:kern w:val="2"/>
          <w:sz w:val="28"/>
          <w:szCs w:val="28"/>
          <w:highlight w:val="none"/>
          <w:lang w:val="en-US" w:eastAsia="zh-CN" w:bidi="ar-SA"/>
        </w:rPr>
      </w:pPr>
    </w:p>
    <w:p w14:paraId="3BAC7A4B">
      <w:pPr>
        <w:keepNext w:val="0"/>
        <w:keepLines w:val="0"/>
        <w:pageBreakBefore w:val="0"/>
        <w:overflowPunct/>
        <w:topLinePunct w:val="0"/>
        <w:bidi w:val="0"/>
        <w:spacing w:line="400" w:lineRule="exact"/>
        <w:jc w:val="center"/>
        <w:rPr>
          <w:rFonts w:hint="eastAsia" w:ascii="仿宋" w:hAnsi="仿宋" w:eastAsia="仿宋" w:cs="仿宋"/>
          <w:color w:val="auto"/>
          <w:sz w:val="28"/>
          <w:szCs w:val="28"/>
          <w:highlight w:val="none"/>
          <w:lang w:val="zh-CN"/>
        </w:rPr>
      </w:pPr>
    </w:p>
    <w:p w14:paraId="4B8D7A75">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261549F3">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p>
    <w:p w14:paraId="0A03EE09">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p>
    <w:p w14:paraId="22B3E19C">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p>
    <w:p w14:paraId="28EE228B">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p>
    <w:p w14:paraId="1CA1C8A9">
      <w:pPr>
        <w:keepNext w:val="0"/>
        <w:keepLines w:val="0"/>
        <w:pageBreakBefore w:val="0"/>
        <w:overflowPunct/>
        <w:topLinePunct w:val="0"/>
        <w:bidi w:val="0"/>
        <w:spacing w:line="400" w:lineRule="exact"/>
        <w:jc w:val="center"/>
        <w:outlineLvl w:val="0"/>
        <w:rPr>
          <w:rFonts w:hint="default" w:ascii="宋体" w:hAnsi="宋体" w:eastAsia="宋体" w:cs="黑体"/>
          <w:b/>
          <w:color w:val="auto"/>
          <w:kern w:val="2"/>
          <w:sz w:val="36"/>
          <w:szCs w:val="36"/>
          <w:highlight w:val="none"/>
          <w:lang w:val="en-US" w:eastAsia="zh-CN" w:bidi="ar-SA"/>
        </w:rPr>
      </w:pPr>
      <w:r>
        <w:rPr>
          <w:rFonts w:hint="eastAsia" w:ascii="宋体" w:hAnsi="宋体" w:eastAsia="宋体" w:cs="黑体"/>
          <w:b/>
          <w:color w:val="auto"/>
          <w:kern w:val="2"/>
          <w:sz w:val="36"/>
          <w:szCs w:val="36"/>
          <w:highlight w:val="none"/>
          <w:lang w:val="en-US" w:eastAsia="zh-CN" w:bidi="ar-SA"/>
        </w:rPr>
        <w:t xml:space="preserve">第五章  </w:t>
      </w:r>
      <w:r>
        <w:rPr>
          <w:rFonts w:hint="eastAsia" w:ascii="宋体" w:hAnsi="宋体" w:cs="黑体"/>
          <w:b/>
          <w:color w:val="auto"/>
          <w:kern w:val="2"/>
          <w:sz w:val="36"/>
          <w:szCs w:val="36"/>
          <w:highlight w:val="none"/>
          <w:lang w:val="en-US" w:eastAsia="zh-CN" w:bidi="ar-SA"/>
        </w:rPr>
        <w:t>遴选</w:t>
      </w:r>
      <w:r>
        <w:rPr>
          <w:rFonts w:hint="eastAsia" w:ascii="宋体" w:hAnsi="宋体" w:eastAsia="宋体" w:cs="黑体"/>
          <w:b/>
          <w:color w:val="auto"/>
          <w:kern w:val="2"/>
          <w:sz w:val="36"/>
          <w:szCs w:val="36"/>
          <w:highlight w:val="none"/>
          <w:lang w:val="en-US" w:eastAsia="zh-CN" w:bidi="ar-SA"/>
        </w:rPr>
        <w:t>需求</w:t>
      </w:r>
    </w:p>
    <w:p w14:paraId="38D99530">
      <w:pPr>
        <w:keepNext w:val="0"/>
        <w:keepLines w:val="0"/>
        <w:pageBreakBefore w:val="0"/>
        <w:widowControl w:val="0"/>
        <w:kinsoku/>
        <w:wordWrap/>
        <w:overflowPunct/>
        <w:topLinePunct w:val="0"/>
        <w:autoSpaceDE/>
        <w:autoSpaceDN/>
        <w:bidi w:val="0"/>
        <w:adjustRightInd/>
        <w:snapToGrid/>
        <w:spacing w:line="400" w:lineRule="exact"/>
        <w:ind w:left="605"/>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一、项目概况</w:t>
      </w:r>
    </w:p>
    <w:p w14:paraId="54C74687">
      <w:pPr>
        <w:keepNext w:val="0"/>
        <w:keepLines w:val="0"/>
        <w:pageBreakBefore w:val="0"/>
        <w:widowControl w:val="0"/>
        <w:kinsoku/>
        <w:wordWrap/>
        <w:overflowPunct/>
        <w:topLinePunct w:val="0"/>
        <w:autoSpaceDE/>
        <w:autoSpaceDN/>
        <w:bidi w:val="0"/>
        <w:adjustRightInd/>
        <w:snapToGrid/>
        <w:spacing w:line="400" w:lineRule="exact"/>
        <w:ind w:left="2" w:right="103" w:firstLine="593"/>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sz w:val="28"/>
          <w:szCs w:val="28"/>
          <w:highlight w:val="none"/>
        </w:rPr>
        <w:t>为</w:t>
      </w:r>
      <w:r>
        <w:rPr>
          <w:rFonts w:hint="eastAsia" w:ascii="仿宋" w:hAnsi="仿宋" w:eastAsia="仿宋" w:cs="仿宋"/>
          <w:color w:val="auto"/>
          <w:spacing w:val="-1"/>
          <w:sz w:val="28"/>
          <w:szCs w:val="28"/>
          <w:highlight w:val="none"/>
          <w:lang w:eastAsia="zh-CN"/>
        </w:rPr>
        <w:t>优化</w:t>
      </w:r>
      <w:r>
        <w:rPr>
          <w:rFonts w:hint="eastAsia" w:ascii="仿宋" w:hAnsi="仿宋" w:eastAsia="仿宋" w:cs="仿宋"/>
          <w:color w:val="auto"/>
          <w:spacing w:val="-1"/>
          <w:sz w:val="28"/>
          <w:szCs w:val="28"/>
          <w:highlight w:val="none"/>
        </w:rPr>
        <w:t>我院快递及医共体物流工作，充分了解市场服务能力、智能化配送方案、服务报价、履约保障体系，择优遴选1家综合实力匹配的快递物流服务商，承接全院多板块寄递与医共体内部流转配送业务</w:t>
      </w:r>
      <w:r>
        <w:rPr>
          <w:rFonts w:ascii="仿宋" w:hAnsi="仿宋" w:eastAsia="仿宋" w:cs="仿宋"/>
          <w:color w:val="auto"/>
          <w:spacing w:val="-1"/>
          <w:sz w:val="28"/>
          <w:szCs w:val="28"/>
          <w:highlight w:val="none"/>
        </w:rPr>
        <w:t>。</w:t>
      </w:r>
    </w:p>
    <w:p w14:paraId="23CBFFCB">
      <w:pPr>
        <w:keepNext w:val="0"/>
        <w:keepLines w:val="0"/>
        <w:pageBreakBefore w:val="0"/>
        <w:widowControl w:val="0"/>
        <w:kinsoku/>
        <w:wordWrap/>
        <w:overflowPunct/>
        <w:topLinePunct w:val="0"/>
        <w:autoSpaceDE/>
        <w:autoSpaceDN/>
        <w:bidi w:val="0"/>
        <w:adjustRightInd/>
        <w:snapToGrid/>
        <w:spacing w:line="400" w:lineRule="exact"/>
        <w:ind w:left="61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二、服务需求</w:t>
      </w:r>
    </w:p>
    <w:p w14:paraId="062A94D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（一）现有系统接口对接要求</w:t>
      </w:r>
    </w:p>
    <w:p w14:paraId="3677EFDA">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本次遴选确定的中标供应商，须无偿完成与本院现有互联网医院的快递下单、物流查询接口的全流程对接工作，须无偿完成与本院现有云共享中药房系统的在线下单、在线取消订单、物流状态发生变化时主动推送物流信息、在线查询物流信息的全流程对接工作。其中互联网医院系统开发服务商为东软集团股份有限公司，云共享中药房系统开发服务商为南京大经中医药信息技术有限公司。本次接口开发、调试、联调、测试、上线、运维等因系统接入产生的全部人工、硬件、技术服务、对接协调等一切相关费用，均由中标供应商全额承担，采购人无需另行支付任何接口对接相关费用。</w:t>
      </w:r>
    </w:p>
    <w:p w14:paraId="5EA9976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2.接口对接验收标准：系统对接完成后，终端用户可正常完成快递下单操作，并实时查询快件物流配送信息，功能稳定、数据传输无误，满足医院日常诊疗配药寄递需求。</w:t>
      </w:r>
    </w:p>
    <w:p w14:paraId="7CC04C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（二）快递配送时效要求</w:t>
      </w:r>
    </w:p>
    <w:p w14:paraId="0D86BB3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1.溧水区全域：当日 11:00 前完成下单的快件，当日送达；11:00 后下单快件，须于次日 12:00 前送达完毕。</w:t>
      </w:r>
    </w:p>
    <w:p w14:paraId="1D8D342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2.南京市域其他区域（不含溧水区）：当日完成下单的快件，次日完成配送。</w:t>
      </w:r>
    </w:p>
    <w:p w14:paraId="6703318B">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3.南京市以外地区：配送时效执行快递行业现行通用标准，所有药品类快件设立优先通道，优先分拣、优先运输、优先派送。</w:t>
      </w:r>
    </w:p>
    <w:p w14:paraId="7F4046A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（三）快递揽收人员管理要求</w:t>
      </w:r>
    </w:p>
    <w:p w14:paraId="1651C39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1.供应商须配置固定揽收人员负责本院快件揽收工作，不得随意更换人员；采购人提供专属揽收场地供揽件人员使用。</w:t>
      </w:r>
    </w:p>
    <w:p w14:paraId="334C3DB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2.揽收人员每日分上、下午至少各上门揽件一次，保障快件及时归集转运。</w:t>
      </w:r>
    </w:p>
    <w:p w14:paraId="3DDE414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zh-CN" w:eastAsia="zh-CN" w:bidi="ar-SA"/>
        </w:rPr>
        <w:t>（</w:t>
      </w:r>
      <w:r>
        <w:rPr>
          <w:rFonts w:hint="eastAsia" w:ascii="仿宋" w:hAnsi="仿宋" w:eastAsia="仿宋" w:cs="仿宋"/>
          <w:b/>
          <w:bCs/>
          <w:color w:val="auto"/>
          <w:spacing w:val="-1"/>
          <w:kern w:val="2"/>
          <w:sz w:val="28"/>
          <w:szCs w:val="28"/>
          <w:highlight w:val="none"/>
          <w:lang w:val="en-US" w:eastAsia="zh-CN" w:bidi="ar-SA"/>
        </w:rPr>
        <w:t>四</w:t>
      </w:r>
      <w:r>
        <w:rPr>
          <w:rFonts w:hint="eastAsia" w:ascii="仿宋" w:hAnsi="仿宋" w:eastAsia="仿宋" w:cs="仿宋"/>
          <w:b/>
          <w:bCs/>
          <w:color w:val="auto"/>
          <w:spacing w:val="-1"/>
          <w:kern w:val="2"/>
          <w:sz w:val="28"/>
          <w:szCs w:val="28"/>
          <w:highlight w:val="none"/>
          <w:lang w:val="zh-CN" w:eastAsia="zh-CN" w:bidi="ar-SA"/>
        </w:rPr>
        <w:t>）派送规范</w:t>
      </w:r>
    </w:p>
    <w:p w14:paraId="4531D94D">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zh-CN" w:eastAsia="zh-CN" w:bidi="ar-SA"/>
        </w:rPr>
      </w:pPr>
      <w:r>
        <w:rPr>
          <w:rFonts w:hint="eastAsia" w:ascii="仿宋" w:hAnsi="仿宋" w:eastAsia="仿宋" w:cs="仿宋"/>
          <w:color w:val="auto"/>
          <w:spacing w:val="-1"/>
          <w:kern w:val="2"/>
          <w:sz w:val="28"/>
          <w:szCs w:val="28"/>
          <w:highlight w:val="none"/>
          <w:lang w:val="en-US" w:eastAsia="zh-CN" w:bidi="ar-SA"/>
        </w:rPr>
        <w:t>1.所有快递快件均实行百分百送货上门服务标准，除收件人主动提出变更派送地点或同意指定送至其他位置的特殊情况外，供应商不得擅自更改派送方式、拒绝上门派送</w:t>
      </w:r>
      <w:r>
        <w:rPr>
          <w:rFonts w:hint="eastAsia" w:ascii="仿宋" w:hAnsi="仿宋" w:eastAsia="仿宋" w:cs="仿宋"/>
          <w:color w:val="auto"/>
          <w:spacing w:val="-1"/>
          <w:kern w:val="2"/>
          <w:sz w:val="28"/>
          <w:szCs w:val="28"/>
          <w:highlight w:val="none"/>
          <w:lang w:val="zh-CN" w:eastAsia="zh-CN" w:bidi="ar-SA"/>
        </w:rPr>
        <w:t>。</w:t>
      </w:r>
    </w:p>
    <w:p w14:paraId="6BE4DAA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2.袋装中药煎剂必须密封处理，杜绝运输途中渗漏、洒漏。</w:t>
      </w:r>
    </w:p>
    <w:p w14:paraId="0C9EEFD7">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3.需低温储存的膏方、药液，必须足额使用冰袋密封打包，全程维持低温储存条件。</w:t>
      </w:r>
    </w:p>
    <w:p w14:paraId="493D6D2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4.瓶装膏方、名贵饮片等易碎货品，内部使用缓冲材料填充缓冲，外部加装硬质纸箱，防止运输磕碰碎裂。</w:t>
      </w:r>
    </w:p>
    <w:p w14:paraId="4CB68A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zh-CN" w:eastAsia="zh-CN" w:bidi="ar-SA"/>
        </w:rPr>
        <w:t>（</w:t>
      </w:r>
      <w:r>
        <w:rPr>
          <w:rFonts w:hint="eastAsia" w:ascii="仿宋" w:hAnsi="仿宋" w:eastAsia="仿宋" w:cs="仿宋"/>
          <w:b/>
          <w:bCs/>
          <w:color w:val="auto"/>
          <w:spacing w:val="-1"/>
          <w:kern w:val="2"/>
          <w:sz w:val="28"/>
          <w:szCs w:val="28"/>
          <w:highlight w:val="none"/>
          <w:lang w:val="en-US" w:eastAsia="zh-CN" w:bidi="ar-SA"/>
        </w:rPr>
        <w:t>五</w:t>
      </w:r>
      <w:r>
        <w:rPr>
          <w:rFonts w:hint="eastAsia" w:ascii="仿宋" w:hAnsi="仿宋" w:eastAsia="仿宋" w:cs="仿宋"/>
          <w:b/>
          <w:bCs/>
          <w:color w:val="auto"/>
          <w:spacing w:val="-1"/>
          <w:kern w:val="2"/>
          <w:sz w:val="28"/>
          <w:szCs w:val="28"/>
          <w:highlight w:val="none"/>
          <w:lang w:val="zh-CN" w:eastAsia="zh-CN" w:bidi="ar-SA"/>
        </w:rPr>
        <w:t>）无人快递车使用管理要求</w:t>
      </w:r>
    </w:p>
    <w:p w14:paraId="0E5BF1ED">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1.采购人现有固定配送路线共8条：</w:t>
      </w:r>
    </w:p>
    <w:p w14:paraId="5B6A0A6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（1）南京市溧水区中医院—柘塘中心卫生院</w:t>
      </w:r>
    </w:p>
    <w:p w14:paraId="73BC7D4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（2）南京市溧水区中医院—和凤中心卫生院</w:t>
      </w:r>
    </w:p>
    <w:p w14:paraId="68C8B8B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（3）南京市溧水区中医院—溧水区实验小学（崇文路校区）</w:t>
      </w:r>
    </w:p>
    <w:p w14:paraId="7F2F769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（4）南京市溧水区中医院—江苏省溧水高级中学附属初级中学</w:t>
      </w:r>
    </w:p>
    <w:p w14:paraId="0B5E22D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（5）南京市溧水区中医院—江苏省第二师范学院学院（石湫校区）</w:t>
      </w:r>
    </w:p>
    <w:p w14:paraId="4EAC889C">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（6）南京市溧水区中医院—南京工业大学浦江学院</w:t>
      </w:r>
    </w:p>
    <w:p w14:paraId="6E9DEA6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（7）南京市溧水区中医院—南京市溧水区人民医院</w:t>
      </w:r>
    </w:p>
    <w:p w14:paraId="7FCEEFA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（8）南京市溧水区中医院—长安汽车-深蓝南京数智工厂</w:t>
      </w:r>
    </w:p>
    <w:p w14:paraId="4EA7396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上述全部线路范围内所有快件必须统一使用无人快递车完成派送，供应商不得改用人工车辆配送、不得拆分线路交由其他运输工具承运。后续采购人根据业务需要新增、调整、取消配送线路的，供应商须无条件配合。</w:t>
      </w:r>
    </w:p>
    <w:p w14:paraId="2CC526AC">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2.上述运输期间的无人快递车身须显著印制 “南京市溧水区中医院” 标识或宣传用语，内容以中医药健康科普、本院便民配药寄递服务宣传为主，宣传物料排版、尺寸、配色、文字样式须经采购人确认，供应商不得私自添加无关商业广告、第三方推广信息。允许搭配中标供应商企业联名标识，整体版面设计须提前报送本院对接科室审核通过后方可上线使用。</w:t>
      </w:r>
    </w:p>
    <w:p w14:paraId="56BAE20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3.供应商须足额配备满足固定线路不间断运营的无人快递车辆，保障每日各时效订单均可正常出车；因车辆故障、运力不足改用人工派送的，供应商应提前报备采购人，经协商同意后实施。</w:t>
      </w:r>
    </w:p>
    <w:p w14:paraId="451C1E9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4.无人快递车运营全程轨迹可实时查询，院内管理人员可随时查看车辆行驶路线、派送节点，确保快件严格按照指定线路配送，满足既定时效要求。</w:t>
      </w:r>
    </w:p>
    <w:p w14:paraId="3A19FA73">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5.若医院新增配送线路，供应商须无条件增加配送线路并于20日内完成新增并开始运行。</w:t>
      </w:r>
    </w:p>
    <w:p w14:paraId="760B1C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（六）项目履约管理标准</w:t>
      </w:r>
    </w:p>
    <w:p w14:paraId="3AA19FD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1.全流程可追溯管理要求</w:t>
      </w:r>
    </w:p>
    <w:p w14:paraId="7CF4B228">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（1）人员备案管理：固定揽收人员须向本院登记备案，提交身份证、从业资质、联系方式建立人员档案；人员更换须提前报备医院，未经备案人员不得参与本院快件揽派工作。</w:t>
      </w:r>
    </w:p>
    <w:p w14:paraId="4912A6B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（2）车辆备案管理：所有人工配送车辆、投入运营的无人快递车实行一车一档登记，留存车辆编号、牌照、设备台账、运维记录；无人车全程开启轨迹实时上传功能，医院可随时调取行驶记录。</w:t>
      </w:r>
    </w:p>
    <w:p w14:paraId="2207D07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全程溯源机制：所有快件从院内下单、揽收、分拣、中转、派送、签收全环节留存电子化记录，完整保存下单时间、揽收人员、运输车辆、派送人员、签收凭证；发生漏送、错送、丢失、破损、超时、包装渗漏等问题时，可精准追溯至对应环节、对应操作人员及运输车辆，供应商须配合医院完成问题核查取证。</w:t>
      </w:r>
    </w:p>
    <w:p w14:paraId="5C5F48D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2.货物安全与损失赔偿规定</w:t>
      </w:r>
    </w:p>
    <w:p w14:paraId="69A2588B">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所有药品、中药煎剂、饮片、膏方等寄递物品须全程妥善保管、规范包装、安全送达；因供应商操作、运输、包装不当造成快件丢失、整件/局部损毁、药液渗漏、内件短少、药品变质失效的，严格按照《快递暂行条例》《中华人民共和国民法典》及快递行业赔付标准赔偿。</w:t>
      </w:r>
    </w:p>
    <w:p w14:paraId="5BE04C4D">
      <w:pPr>
        <w:keepNext w:val="0"/>
        <w:keepLines w:val="0"/>
        <w:pageBreakBefore w:val="0"/>
        <w:widowControl w:val="0"/>
        <w:kinsoku/>
        <w:wordWrap/>
        <w:overflowPunct/>
        <w:topLinePunct w:val="0"/>
        <w:autoSpaceDE/>
        <w:autoSpaceDN/>
        <w:bidi w:val="0"/>
        <w:adjustRightInd/>
        <w:snapToGrid/>
        <w:spacing w:line="400" w:lineRule="exact"/>
        <w:ind w:left="61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三、付款进度</w:t>
      </w:r>
    </w:p>
    <w:p w14:paraId="5451FCE4">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1.自行支付快件：到付、个人寄件等自行支付类快件，快递费用由寄件人或收件人自行承担，采购人不承担该类订单费用；</w:t>
      </w:r>
    </w:p>
    <w:p w14:paraId="60BB463B">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院方支付快件：属于院方承担费用的寄付快件，中标供应商每月月初整理完成上一自然月全部寄付订单明细账单并报送本院对接科室核对；双方核对账目数据无误后，每月20日前供应商向采购人开具合规等额发票，采购人收到有效发票后按财务流程据实结算支付对应款项。</w:t>
      </w:r>
    </w:p>
    <w:p w14:paraId="3E23319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四、服务期限</w:t>
      </w:r>
    </w:p>
    <w:p w14:paraId="17C921C0">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本项目服务期自合同签订之日起3年，合同一年一签。每年度合同期满前，采购人将对供应商履约情况结合遴选文件中的服务需求、供应商的响应文件进行评估，服务不能满足上述约定的各项服务要求的，采购人有权不予续签次年合同，供应商不得提出异议或索赔。</w:t>
      </w:r>
    </w:p>
    <w:p w14:paraId="72A0C103">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zh-CN" w:eastAsia="zh-CN" w:bidi="ar-SA"/>
        </w:rPr>
      </w:pPr>
    </w:p>
    <w:p w14:paraId="07CC09BD">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6A113657">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513B5D8A">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412D9E57">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12D1AE09">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6352FEFC">
      <w:pPr>
        <w:pStyle w:val="2"/>
        <w:rPr>
          <w:rFonts w:hint="eastAsia"/>
          <w:lang w:val="zh-CN" w:eastAsia="zh-CN"/>
        </w:rPr>
      </w:pPr>
    </w:p>
    <w:p w14:paraId="6EA8B06D">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35629CB1">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547F828A">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r>
        <w:rPr>
          <w:rFonts w:hint="eastAsia" w:ascii="宋体" w:hAnsi="宋体" w:eastAsia="宋体" w:cs="黑体"/>
          <w:b/>
          <w:color w:val="auto"/>
          <w:kern w:val="2"/>
          <w:sz w:val="36"/>
          <w:szCs w:val="36"/>
          <w:highlight w:val="none"/>
          <w:lang w:val="zh-CN" w:eastAsia="zh-CN" w:bidi="ar-SA"/>
        </w:rPr>
        <w:t>第</w:t>
      </w:r>
      <w:r>
        <w:rPr>
          <w:rFonts w:hint="eastAsia" w:ascii="宋体" w:hAnsi="宋体" w:cs="黑体"/>
          <w:b/>
          <w:color w:val="auto"/>
          <w:kern w:val="2"/>
          <w:sz w:val="36"/>
          <w:szCs w:val="36"/>
          <w:highlight w:val="none"/>
          <w:lang w:val="en-US" w:eastAsia="zh-CN" w:bidi="ar-SA"/>
        </w:rPr>
        <w:t>六</w:t>
      </w:r>
      <w:r>
        <w:rPr>
          <w:rFonts w:hint="eastAsia" w:ascii="宋体" w:hAnsi="宋体" w:eastAsia="宋体" w:cs="黑体"/>
          <w:b/>
          <w:color w:val="auto"/>
          <w:kern w:val="2"/>
          <w:sz w:val="36"/>
          <w:szCs w:val="36"/>
          <w:highlight w:val="none"/>
          <w:lang w:val="zh-CN" w:eastAsia="zh-CN" w:bidi="ar-SA"/>
        </w:rPr>
        <w:t>章 拟签订的合同条款</w:t>
      </w:r>
    </w:p>
    <w:p w14:paraId="7AD0DE1C">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 xml:space="preserve">  </w:t>
      </w:r>
    </w:p>
    <w:p w14:paraId="069E015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outlineLvl w:val="0"/>
        <w:rPr>
          <w:rFonts w:hint="eastAsia" w:ascii="仿宋" w:hAnsi="仿宋" w:eastAsia="仿宋" w:cs="仿宋"/>
          <w:b w:val="0"/>
          <w:bCs/>
          <w:color w:val="auto"/>
          <w:sz w:val="28"/>
          <w:szCs w:val="28"/>
          <w:highlight w:val="none"/>
          <w:lang w:val="zh-CN"/>
        </w:rPr>
      </w:pP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lang w:val="zh-CN"/>
        </w:rPr>
        <w:t>合同通用条款采用</w:t>
      </w:r>
      <w:r>
        <w:rPr>
          <w:rFonts w:hint="eastAsia" w:ascii="仿宋" w:hAnsi="仿宋" w:eastAsia="仿宋" w:cs="仿宋"/>
          <w:b w:val="0"/>
          <w:bCs/>
          <w:color w:val="auto"/>
          <w:sz w:val="28"/>
          <w:szCs w:val="28"/>
          <w:highlight w:val="none"/>
          <w:lang w:val="en-US" w:eastAsia="zh-CN"/>
        </w:rPr>
        <w:t>快递行业通用版本</w:t>
      </w:r>
      <w:r>
        <w:rPr>
          <w:rFonts w:hint="eastAsia" w:ascii="仿宋" w:hAnsi="仿宋" w:eastAsia="仿宋" w:cs="仿宋"/>
          <w:b w:val="0"/>
          <w:bCs/>
          <w:color w:val="auto"/>
          <w:sz w:val="28"/>
          <w:szCs w:val="28"/>
          <w:highlight w:val="none"/>
          <w:lang w:val="zh-CN"/>
        </w:rPr>
        <w:t>，合同专用条款根据本项目具体要求以《补充协议》方式约定，两者约定不一致的，以《补充协议》约定为准。</w:t>
      </w:r>
    </w:p>
    <w:p w14:paraId="388052F4">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both"/>
        <w:textAlignment w:val="auto"/>
        <w:rPr>
          <w:rFonts w:hint="eastAsia" w:ascii="仿宋" w:hAnsi="仿宋" w:eastAsia="仿宋" w:cs="仿宋"/>
          <w:b/>
          <w:bCs/>
          <w:color w:val="auto"/>
          <w:kern w:val="0"/>
          <w:sz w:val="28"/>
          <w:szCs w:val="28"/>
          <w:highlight w:val="none"/>
          <w:lang w:val="en-US" w:eastAsia="zh-CN"/>
        </w:rPr>
      </w:pPr>
      <w:bookmarkStart w:id="8" w:name="_Hlk44577525"/>
    </w:p>
    <w:p w14:paraId="18863CF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补充协议</w:t>
      </w:r>
    </w:p>
    <w:p w14:paraId="5B0D37C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u w:val="single"/>
          <w:lang w:val="en-US" w:eastAsia="zh-CN"/>
        </w:rPr>
        <w:t xml:space="preserve">                        </w:t>
      </w:r>
    </w:p>
    <w:p w14:paraId="48A838C3">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乙方：</w:t>
      </w:r>
      <w:r>
        <w:rPr>
          <w:rFonts w:hint="eastAsia" w:ascii="仿宋" w:hAnsi="仿宋" w:eastAsia="仿宋" w:cs="仿宋"/>
          <w:color w:val="auto"/>
          <w:sz w:val="28"/>
          <w:szCs w:val="28"/>
          <w:highlight w:val="none"/>
          <w:u w:val="single"/>
          <w:lang w:val="en-US" w:eastAsia="zh-CN"/>
        </w:rPr>
        <w:t xml:space="preserve">                        </w:t>
      </w:r>
    </w:p>
    <w:p w14:paraId="01076053">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en-US" w:eastAsia="zh-CN"/>
        </w:rPr>
        <w:t>一、服务技术</w:t>
      </w:r>
      <w:r>
        <w:rPr>
          <w:rFonts w:hint="eastAsia" w:ascii="仿宋" w:hAnsi="仿宋" w:eastAsia="仿宋" w:cs="仿宋"/>
          <w:b/>
          <w:bCs/>
          <w:color w:val="auto"/>
          <w:sz w:val="28"/>
          <w:szCs w:val="28"/>
          <w:highlight w:val="none"/>
          <w:lang w:val="zh-CN"/>
        </w:rPr>
        <w:t>要求</w:t>
      </w:r>
    </w:p>
    <w:p w14:paraId="063C58C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（一）现有系统接口对接要求</w:t>
      </w:r>
    </w:p>
    <w:p w14:paraId="110A93F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本次遴选确定的中标供应商，须无偿完成与本院现有互联网医院的快递下单、物流查询接口的全流程对接工作，须无偿完成与本院现有云共享中药房系统的在线下单、在线取消订单、物流状态发生变化时主动推送物流信息、在线查询物流信息的全流程对接工作。其中互联网医院系统开发服务商为东软集团股份有限公司，云共享中药房系统开发服务商为南京大经中医药信息技术有限公司。本次接口开发、调试、联调、测试、上线、运维等因系统接入产生的全部人工、硬件、技术服务、对接协调等一切相关费用，均由中标供应商全额承担，采购人无需另行支付任何接口对接相关费用。</w:t>
      </w:r>
    </w:p>
    <w:p w14:paraId="6CB2430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2.接口对接验收标准：系统对接完成后，终端用户可正常完成快递下单操作，并实时查询快件物流配送信息，功能稳定、数据传输无误，满足医院日常诊疗配药寄递需求。</w:t>
      </w:r>
    </w:p>
    <w:p w14:paraId="37E16D8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（二）快递配送时效要求</w:t>
      </w:r>
    </w:p>
    <w:p w14:paraId="13E5F084">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1.溧水区全域：当日 11:00 前完成下单的快件，当日送达；11:00 后下单快件，须于次日 12:00 前送达完毕。</w:t>
      </w:r>
    </w:p>
    <w:p w14:paraId="52DDE994">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2.南京市域其他区域（不含溧水区）：当日完成下单的快件，次日完成配送。</w:t>
      </w:r>
    </w:p>
    <w:p w14:paraId="1100FF46">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3.南京市以外地区：配送时效执行快递行业现行通用标准，所有药品类快件设立优先通道，优先分拣、优先运输、优先派送。</w:t>
      </w:r>
    </w:p>
    <w:p w14:paraId="62044AB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104" w:rightChars="0" w:firstLine="420"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（三）快递揽收人员管理要求</w:t>
      </w:r>
    </w:p>
    <w:p w14:paraId="417C32F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1.供应商须配置固定揽收人员负责本院快件揽收工作，不得随意更换人员；采购人提供专属揽收场地供揽件人员使用。</w:t>
      </w:r>
    </w:p>
    <w:p w14:paraId="42DA416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2.揽收人员每日分上、下午至少各上门揽件一次，保障快件及时归集转运。</w:t>
      </w:r>
    </w:p>
    <w:p w14:paraId="35466C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default"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zh-CN" w:eastAsia="zh-CN" w:bidi="ar-SA"/>
        </w:rPr>
        <w:t>（</w:t>
      </w:r>
      <w:r>
        <w:rPr>
          <w:rFonts w:hint="eastAsia" w:ascii="仿宋" w:hAnsi="仿宋" w:eastAsia="仿宋" w:cs="仿宋"/>
          <w:b/>
          <w:bCs/>
          <w:color w:val="auto"/>
          <w:spacing w:val="-1"/>
          <w:kern w:val="2"/>
          <w:sz w:val="28"/>
          <w:szCs w:val="28"/>
          <w:highlight w:val="none"/>
          <w:lang w:val="en-US" w:eastAsia="zh-CN" w:bidi="ar-SA"/>
        </w:rPr>
        <w:t>四</w:t>
      </w:r>
      <w:r>
        <w:rPr>
          <w:rFonts w:hint="eastAsia" w:ascii="仿宋" w:hAnsi="仿宋" w:eastAsia="仿宋" w:cs="仿宋"/>
          <w:b/>
          <w:bCs/>
          <w:color w:val="auto"/>
          <w:spacing w:val="-1"/>
          <w:kern w:val="2"/>
          <w:sz w:val="28"/>
          <w:szCs w:val="28"/>
          <w:highlight w:val="none"/>
          <w:lang w:val="zh-CN" w:eastAsia="zh-CN" w:bidi="ar-SA"/>
        </w:rPr>
        <w:t>）派送规范</w:t>
      </w:r>
    </w:p>
    <w:p w14:paraId="7AB57B7C">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zh-CN" w:eastAsia="zh-CN" w:bidi="ar-SA"/>
        </w:rPr>
      </w:pPr>
      <w:r>
        <w:rPr>
          <w:rFonts w:hint="eastAsia" w:ascii="仿宋" w:hAnsi="仿宋" w:eastAsia="仿宋" w:cs="仿宋"/>
          <w:color w:val="auto"/>
          <w:spacing w:val="-1"/>
          <w:kern w:val="2"/>
          <w:sz w:val="28"/>
          <w:szCs w:val="28"/>
          <w:highlight w:val="none"/>
          <w:lang w:val="en-US" w:eastAsia="zh-CN" w:bidi="ar-SA"/>
        </w:rPr>
        <w:t>1.所有快递快件均实行百分百送货上门服务标准，除收件人主动提出变更派送地点或同意指定送至其他位置的特殊情况外，供应商不得擅自更改派送方式、拒绝上门派送</w:t>
      </w:r>
      <w:r>
        <w:rPr>
          <w:rFonts w:hint="eastAsia" w:ascii="仿宋" w:hAnsi="仿宋" w:eastAsia="仿宋" w:cs="仿宋"/>
          <w:color w:val="auto"/>
          <w:spacing w:val="-1"/>
          <w:kern w:val="2"/>
          <w:sz w:val="28"/>
          <w:szCs w:val="28"/>
          <w:highlight w:val="none"/>
          <w:lang w:val="zh-CN" w:eastAsia="zh-CN" w:bidi="ar-SA"/>
        </w:rPr>
        <w:t>。</w:t>
      </w:r>
    </w:p>
    <w:p w14:paraId="0067AAC8">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2.袋装中药煎剂必须密封处理，杜绝运输途中渗漏、洒漏。</w:t>
      </w:r>
    </w:p>
    <w:p w14:paraId="66CD41DB">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3.需低温储存的膏方、药液，必须足额使用冰袋密封打包，全程维持低温储存条件。</w:t>
      </w:r>
    </w:p>
    <w:p w14:paraId="2A972230">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4.瓶装膏方、名贵饮片等易碎货品，内部使用缓冲材料填充缓冲，外部加装硬质纸箱，防止运输磕碰碎裂。</w:t>
      </w:r>
    </w:p>
    <w:p w14:paraId="4CC3C9D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zh-CN" w:eastAsia="zh-CN" w:bidi="ar-SA"/>
        </w:rPr>
        <w:t>（</w:t>
      </w:r>
      <w:r>
        <w:rPr>
          <w:rFonts w:hint="eastAsia" w:ascii="仿宋" w:hAnsi="仿宋" w:eastAsia="仿宋" w:cs="仿宋"/>
          <w:b/>
          <w:bCs/>
          <w:color w:val="auto"/>
          <w:spacing w:val="-1"/>
          <w:kern w:val="2"/>
          <w:sz w:val="28"/>
          <w:szCs w:val="28"/>
          <w:highlight w:val="none"/>
          <w:lang w:val="en-US" w:eastAsia="zh-CN" w:bidi="ar-SA"/>
        </w:rPr>
        <w:t>五</w:t>
      </w:r>
      <w:r>
        <w:rPr>
          <w:rFonts w:hint="eastAsia" w:ascii="仿宋" w:hAnsi="仿宋" w:eastAsia="仿宋" w:cs="仿宋"/>
          <w:b/>
          <w:bCs/>
          <w:color w:val="auto"/>
          <w:spacing w:val="-1"/>
          <w:kern w:val="2"/>
          <w:sz w:val="28"/>
          <w:szCs w:val="28"/>
          <w:highlight w:val="none"/>
          <w:lang w:val="zh-CN" w:eastAsia="zh-CN" w:bidi="ar-SA"/>
        </w:rPr>
        <w:t>）无人快递车使用管理要求</w:t>
      </w:r>
    </w:p>
    <w:p w14:paraId="5DE2767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1.采购人现有固定配送路线共8条：</w:t>
      </w:r>
    </w:p>
    <w:p w14:paraId="6A9EEBC3">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（1）南京市溧水区中医院—柘塘中心卫生院</w:t>
      </w:r>
    </w:p>
    <w:p w14:paraId="1A71CC9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（2）南京市溧水区中医院—和凤中心卫生院</w:t>
      </w:r>
    </w:p>
    <w:p w14:paraId="74DE79CA">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（3）南京市溧水区中医院—溧水区实验小学（崇文路校区）</w:t>
      </w:r>
    </w:p>
    <w:p w14:paraId="25E0A1F9">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（4）南京市溧水区中医院—江苏省溧水高级中学附属初级中学</w:t>
      </w:r>
    </w:p>
    <w:p w14:paraId="0265241A">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（5）南京市溧水区中医院—江苏省第二师范学院学院（石湫校区）</w:t>
      </w:r>
    </w:p>
    <w:p w14:paraId="4BDDB1D4">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（6）南京市溧水区中医院—南京工业大学浦江学院</w:t>
      </w:r>
    </w:p>
    <w:p w14:paraId="457E05B9">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（7）南京市溧水区中医院—南京市溧水区人民医院</w:t>
      </w:r>
    </w:p>
    <w:p w14:paraId="3A3DA2F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（8）南京市溧水区中医院—长安汽车-深蓝南京数智工厂</w:t>
      </w:r>
    </w:p>
    <w:p w14:paraId="29E06B6F">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上述全部线路范围内所有快件必须统一使用无人快递车完成派送，供应商不得改用人工车辆配送、不得拆分线路交由其他运输工具承运。后续采购人根据业务需要新增、调整、取消配送线路的，供应商须无条件配合。</w:t>
      </w:r>
    </w:p>
    <w:p w14:paraId="43A8B528">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2.上述运输期间的无人快递车身须显著印制 “南京市溧水区中医院” 标识或宣传用语，内容以中医药健康科普、本院便民配药寄递服务宣传为主，宣传物料排版、尺寸、配色、文字样式须经采购人确认，供应商不得私自添加无关商业广告、第三方推广信息。允许搭配中标供应商企业联名标识，整体版面设计须提前报送本院对接科室审核通过后方可上线使用。</w:t>
      </w:r>
    </w:p>
    <w:p w14:paraId="442CAB95">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3.供应商须足额配备满足固定线路不间断运营的无人快递车辆，保障每日各时效订单均可正常出车；因车辆故障、运力不足改用人工派送的，供应商应提前报备采购人，经协商同意后实施。</w:t>
      </w:r>
    </w:p>
    <w:p w14:paraId="29A3FBAE">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4.无人快递车运营全程轨迹可实时查询，院内管理人员可随时查看车辆行驶路线、派送节点，确保快件严格按照指定线路配送，满足既定时效要求。</w:t>
      </w:r>
    </w:p>
    <w:p w14:paraId="223CB04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default"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5.若医院新增配送线路，供应商须无条件增加配送线路并于20日内完成新增并开始运行。</w:t>
      </w:r>
    </w:p>
    <w:p w14:paraId="45BFBBD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6" w:leftChars="0" w:right="104" w:rightChars="0" w:firstLine="598" w:firstLineChars="0"/>
        <w:textAlignment w:val="auto"/>
        <w:rPr>
          <w:rFonts w:hint="eastAsia" w:ascii="仿宋" w:hAnsi="仿宋" w:eastAsia="仿宋" w:cs="仿宋"/>
          <w:b/>
          <w:bCs/>
          <w:color w:val="auto"/>
          <w:spacing w:val="-1"/>
          <w:kern w:val="2"/>
          <w:sz w:val="28"/>
          <w:szCs w:val="28"/>
          <w:highlight w:val="none"/>
          <w:lang w:val="en-US" w:eastAsia="zh-CN" w:bidi="ar-SA"/>
        </w:rPr>
      </w:pPr>
      <w:r>
        <w:rPr>
          <w:rFonts w:hint="eastAsia" w:ascii="仿宋" w:hAnsi="仿宋" w:eastAsia="仿宋" w:cs="仿宋"/>
          <w:b/>
          <w:bCs/>
          <w:color w:val="auto"/>
          <w:spacing w:val="-1"/>
          <w:kern w:val="2"/>
          <w:sz w:val="28"/>
          <w:szCs w:val="28"/>
          <w:highlight w:val="none"/>
          <w:lang w:val="en-US" w:eastAsia="zh-CN" w:bidi="ar-SA"/>
        </w:rPr>
        <w:t>（六）项目履约管理标准</w:t>
      </w:r>
    </w:p>
    <w:p w14:paraId="0C29B9BA">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1.全流程可追溯管理要求</w:t>
      </w:r>
    </w:p>
    <w:p w14:paraId="71B7D4C1">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（1）人员备案管理：固定揽收人员须向本院登记备案，提交身份证、从业资质、联系方式建立人员档案；人员更换须提前报备医院，未经备案人员不得参与本院快件揽派工作。</w:t>
      </w:r>
    </w:p>
    <w:p w14:paraId="34A675DB">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（2）车辆备案管理：所有人工配送车辆、投入运营的无人快递车实行一车一档登记，留存车辆编号、牌照、设备台账、运维记录；无人车全程开启轨迹实时上传功能，医院可随时调取行驶记录。</w:t>
      </w:r>
    </w:p>
    <w:p w14:paraId="1FEF3BB7">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3）全程溯源机制：所有快件从院内下单、揽收、分拣、中转、派送、签收全环节留存电子化记录，完整保存下单时间、揽收人员、运输车辆、派送人员、签收凭证；发生漏送、错送、丢失、破损、超时、包装渗漏等问题时，可精准追溯至对应环节、对应操作人员及运输车辆，供应商须配合医院完成问题核查取证。</w:t>
      </w:r>
    </w:p>
    <w:p w14:paraId="76BCAE82">
      <w:pPr>
        <w:keepNext w:val="0"/>
        <w:keepLines w:val="0"/>
        <w:pageBreakBefore w:val="0"/>
        <w:widowControl w:val="0"/>
        <w:kinsoku/>
        <w:wordWrap/>
        <w:overflowPunct/>
        <w:topLinePunct w:val="0"/>
        <w:autoSpaceDE/>
        <w:autoSpaceDN/>
        <w:bidi w:val="0"/>
        <w:adjustRightInd/>
        <w:snapToGrid/>
        <w:spacing w:line="400" w:lineRule="exact"/>
        <w:ind w:left="6" w:right="104" w:firstLine="598"/>
        <w:textAlignment w:val="auto"/>
        <w:rPr>
          <w:rFonts w:hint="eastAsia" w:ascii="仿宋" w:hAnsi="仿宋" w:eastAsia="仿宋" w:cs="仿宋"/>
          <w:color w:val="auto"/>
          <w:spacing w:val="-1"/>
          <w:kern w:val="2"/>
          <w:sz w:val="28"/>
          <w:szCs w:val="28"/>
          <w:highlight w:val="none"/>
          <w:lang w:val="en-US" w:eastAsia="zh-CN" w:bidi="ar-SA"/>
        </w:rPr>
      </w:pPr>
      <w:r>
        <w:rPr>
          <w:rFonts w:hint="eastAsia" w:ascii="仿宋" w:hAnsi="仿宋" w:eastAsia="仿宋" w:cs="仿宋"/>
          <w:color w:val="auto"/>
          <w:spacing w:val="-1"/>
          <w:kern w:val="2"/>
          <w:sz w:val="28"/>
          <w:szCs w:val="28"/>
          <w:highlight w:val="none"/>
          <w:lang w:val="en-US" w:eastAsia="zh-CN" w:bidi="ar-SA"/>
        </w:rPr>
        <w:t>2.货物安全与损失赔偿规定</w:t>
      </w:r>
    </w:p>
    <w:p w14:paraId="5B16BB97">
      <w:pPr>
        <w:keepNext w:val="0"/>
        <w:keepLines w:val="0"/>
        <w:pageBreakBefore w:val="0"/>
        <w:kinsoku/>
        <w:wordWrap/>
        <w:overflowPunct/>
        <w:topLinePunct w:val="0"/>
        <w:autoSpaceDE/>
        <w:autoSpaceDN/>
        <w:bidi w:val="0"/>
        <w:adjustRightInd/>
        <w:snapToGrid/>
        <w:spacing w:line="400" w:lineRule="exact"/>
        <w:ind w:firstLine="420" w:firstLineChars="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
          <w:kern w:val="2"/>
          <w:sz w:val="28"/>
          <w:szCs w:val="28"/>
          <w:highlight w:val="none"/>
          <w:lang w:val="en-US" w:eastAsia="zh-CN" w:bidi="ar-SA"/>
        </w:rPr>
        <w:t>所有药品、中药煎剂、饮片、膏方等寄递物品须全程妥善保管、规范包装、安全送达；因供应商操作、运输、包装不当造成快件丢失、整件/局部损毁、药液渗漏、内件短少、药品变质失效的，严格按照《快递暂行条例》《中华人民共和国民法典》及快递行业赔付标准赔偿。</w:t>
      </w:r>
    </w:p>
    <w:p w14:paraId="3F3C00D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二、收费标准</w:t>
      </w:r>
    </w:p>
    <w:tbl>
      <w:tblPr>
        <w:tblStyle w:val="17"/>
        <w:tblW w:w="51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643"/>
        <w:gridCol w:w="1557"/>
        <w:gridCol w:w="4597"/>
      </w:tblGrid>
      <w:tr w14:paraId="4A0D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3" w:hRule="atLeast"/>
          <w:jc w:val="center"/>
        </w:trPr>
        <w:tc>
          <w:tcPr>
            <w:tcW w:w="422" w:type="pct"/>
            <w:vMerge w:val="restart"/>
            <w:noWrap w:val="0"/>
            <w:vAlign w:val="center"/>
          </w:tcPr>
          <w:p w14:paraId="277F9F49">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1375" w:type="pct"/>
            <w:vMerge w:val="restart"/>
            <w:noWrap w:val="0"/>
            <w:vAlign w:val="center"/>
          </w:tcPr>
          <w:p w14:paraId="6A45E23C">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南京范围内响应报价</w:t>
            </w:r>
          </w:p>
        </w:tc>
        <w:tc>
          <w:tcPr>
            <w:tcW w:w="810" w:type="pct"/>
            <w:noWrap w:val="0"/>
            <w:vAlign w:val="center"/>
          </w:tcPr>
          <w:p w14:paraId="381EE587">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首重：</w:t>
            </w:r>
          </w:p>
        </w:tc>
        <w:tc>
          <w:tcPr>
            <w:tcW w:w="2391" w:type="pct"/>
            <w:noWrap w:val="0"/>
            <w:vAlign w:val="center"/>
          </w:tcPr>
          <w:p w14:paraId="2CA06821">
            <w:pPr>
              <w:keepNext w:val="0"/>
              <w:keepLines w:val="0"/>
              <w:pageBreakBefore w:val="0"/>
              <w:widowControl w:val="0"/>
              <w:tabs>
                <w:tab w:val="left" w:pos="540"/>
              </w:tabs>
              <w:kinsoku/>
              <w:wordWrap/>
              <w:overflowPunct/>
              <w:topLinePunct w:val="0"/>
              <w:autoSpaceDE/>
              <w:autoSpaceDN/>
              <w:bidi w:val="0"/>
              <w:adjustRightInd/>
              <w:snapToGrid/>
              <w:spacing w:line="400" w:lineRule="exact"/>
              <w:ind w:left="480" w:hanging="560" w:hangingChars="200"/>
              <w:jc w:val="lef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 xml:space="preserve">                   元/KG</w:t>
            </w:r>
          </w:p>
        </w:tc>
      </w:tr>
      <w:tr w14:paraId="4C09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22" w:type="pct"/>
            <w:vMerge w:val="continue"/>
            <w:noWrap w:val="0"/>
            <w:vAlign w:val="center"/>
          </w:tcPr>
          <w:p w14:paraId="5FA9449C">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rPr>
            </w:pPr>
          </w:p>
        </w:tc>
        <w:tc>
          <w:tcPr>
            <w:tcW w:w="1375" w:type="pct"/>
            <w:vMerge w:val="continue"/>
            <w:noWrap w:val="0"/>
            <w:vAlign w:val="center"/>
          </w:tcPr>
          <w:p w14:paraId="45DBB8B9">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rPr>
            </w:pPr>
          </w:p>
        </w:tc>
        <w:tc>
          <w:tcPr>
            <w:tcW w:w="810" w:type="pct"/>
            <w:noWrap w:val="0"/>
            <w:vAlign w:val="center"/>
          </w:tcPr>
          <w:p w14:paraId="090ECF36">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续重：</w:t>
            </w:r>
          </w:p>
        </w:tc>
        <w:tc>
          <w:tcPr>
            <w:tcW w:w="2391" w:type="pct"/>
            <w:noWrap w:val="0"/>
            <w:vAlign w:val="center"/>
          </w:tcPr>
          <w:p w14:paraId="69D9919C">
            <w:pPr>
              <w:keepNext w:val="0"/>
              <w:keepLines w:val="0"/>
              <w:pageBreakBefore w:val="0"/>
              <w:widowControl w:val="0"/>
              <w:tabs>
                <w:tab w:val="left" w:pos="540"/>
              </w:tabs>
              <w:kinsoku/>
              <w:wordWrap/>
              <w:overflowPunct/>
              <w:topLinePunct w:val="0"/>
              <w:autoSpaceDE/>
              <w:autoSpaceDN/>
              <w:bidi w:val="0"/>
              <w:adjustRightInd/>
              <w:snapToGrid/>
              <w:spacing w:line="400" w:lineRule="exact"/>
              <w:ind w:left="480" w:hanging="560" w:hanging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rPr>
              <w:t xml:space="preserve">                   元/KG</w:t>
            </w:r>
          </w:p>
        </w:tc>
      </w:tr>
      <w:tr w14:paraId="605B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2" w:type="pct"/>
            <w:noWrap w:val="0"/>
            <w:vAlign w:val="center"/>
          </w:tcPr>
          <w:p w14:paraId="6104CCC4">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w:t>
            </w:r>
          </w:p>
        </w:tc>
        <w:tc>
          <w:tcPr>
            <w:tcW w:w="1375" w:type="pct"/>
            <w:noWrap w:val="0"/>
            <w:vAlign w:val="center"/>
          </w:tcPr>
          <w:p w14:paraId="53FFE45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lang w:val="en-US" w:eastAsia="zh-CN"/>
              </w:rPr>
              <w:t>无人快递车使用费</w:t>
            </w:r>
          </w:p>
        </w:tc>
        <w:tc>
          <w:tcPr>
            <w:tcW w:w="3202" w:type="pct"/>
            <w:gridSpan w:val="2"/>
            <w:noWrap w:val="0"/>
            <w:vAlign w:val="center"/>
          </w:tcPr>
          <w:p w14:paraId="4FA7AB3C">
            <w:pPr>
              <w:keepNext w:val="0"/>
              <w:keepLines w:val="0"/>
              <w:pageBreakBefore w:val="0"/>
              <w:kinsoku/>
              <w:wordWrap/>
              <w:overflowPunct/>
              <w:topLinePunct w:val="0"/>
              <w:autoSpaceDE/>
              <w:autoSpaceDN/>
              <w:bidi w:val="0"/>
              <w:adjustRightInd/>
              <w:snapToGrid/>
              <w:spacing w:line="400" w:lineRule="exact"/>
              <w:ind w:left="840" w:hanging="840" w:hangingChars="3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结合全部运营路线综合测算，统一折算为单价： 元/次/条路线。</w:t>
            </w:r>
          </w:p>
        </w:tc>
      </w:tr>
      <w:tr w14:paraId="5E29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2" w:type="pct"/>
            <w:noWrap w:val="0"/>
            <w:vAlign w:val="center"/>
          </w:tcPr>
          <w:p w14:paraId="49E37D54">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w:t>
            </w:r>
          </w:p>
        </w:tc>
        <w:tc>
          <w:tcPr>
            <w:tcW w:w="4577" w:type="pct"/>
            <w:gridSpan w:val="3"/>
            <w:noWrap w:val="0"/>
            <w:vAlign w:val="center"/>
          </w:tcPr>
          <w:p w14:paraId="0C21A56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w:t>
            </w:r>
          </w:p>
          <w:p w14:paraId="57AFB3B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（1）包装耗材收费标准按照快递行业市场统一标准执行：纸箱、泡沫箱按标准收取耗材费用；打包袋、冰袋、缓冲材料由供应商免费提供，不另行计费。</w:t>
            </w:r>
          </w:p>
          <w:p w14:paraId="402BB5FE">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lang w:val="en-US" w:eastAsia="zh-CN"/>
              </w:rPr>
              <w:t>（2）南京市以外地区快件资费，按供应商企业统一公开标准执行。</w:t>
            </w:r>
          </w:p>
        </w:tc>
      </w:tr>
    </w:tbl>
    <w:p w14:paraId="7944BB89">
      <w:pPr>
        <w:keepNext w:val="0"/>
        <w:keepLines w:val="0"/>
        <w:pageBreakBefore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kern w:val="0"/>
          <w:sz w:val="28"/>
          <w:szCs w:val="28"/>
          <w:highlight w:val="none"/>
        </w:rPr>
        <w:t>合同的变更和终止</w:t>
      </w:r>
    </w:p>
    <w:p w14:paraId="7C3366FC">
      <w:pPr>
        <w:keepNext w:val="0"/>
        <w:keepLines w:val="0"/>
        <w:pageBreakBefore w:val="0"/>
        <w:widowControl/>
        <w:shd w:val="clear" w:color="auto" w:fill="FFFFFF"/>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除《政府采购法》第50条第二款规定的情形外，本合同一经签订，甲乙双方不得擅自变更、中止或终止合同。</w:t>
      </w:r>
    </w:p>
    <w:p w14:paraId="2EAAFB4F">
      <w:pPr>
        <w:keepNext w:val="0"/>
        <w:keepLines w:val="0"/>
        <w:pageBreakBefore w:val="0"/>
        <w:widowControl/>
        <w:shd w:val="clear" w:color="auto" w:fill="FFFFFF"/>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除发生法律规定的不能预见、不能避免并不能克服的客观情况外，甲乙双方不得放弃或拒绝履行合同。乙方放弃或拒绝履行合同</w:t>
      </w:r>
      <w:r>
        <w:rPr>
          <w:rFonts w:hint="eastAsia" w:ascii="仿宋" w:hAnsi="仿宋" w:eastAsia="仿宋" w:cs="仿宋"/>
          <w:color w:val="auto"/>
          <w:kern w:val="0"/>
          <w:sz w:val="28"/>
          <w:szCs w:val="28"/>
          <w:highlight w:val="none"/>
          <w:lang w:eastAsia="zh-CN"/>
        </w:rPr>
        <w:t>的</w:t>
      </w:r>
      <w:r>
        <w:rPr>
          <w:rFonts w:hint="eastAsia" w:ascii="仿宋" w:hAnsi="仿宋" w:eastAsia="仿宋" w:cs="仿宋"/>
          <w:color w:val="auto"/>
          <w:kern w:val="0"/>
          <w:sz w:val="28"/>
          <w:szCs w:val="28"/>
          <w:highlight w:val="none"/>
        </w:rPr>
        <w:t>，在三年内不得参加</w:t>
      </w:r>
      <w:r>
        <w:rPr>
          <w:rFonts w:hint="eastAsia" w:ascii="仿宋" w:hAnsi="仿宋" w:eastAsia="仿宋" w:cs="仿宋"/>
          <w:color w:val="auto"/>
          <w:kern w:val="0"/>
          <w:sz w:val="28"/>
          <w:szCs w:val="28"/>
          <w:highlight w:val="none"/>
          <w:lang w:val="en-US" w:eastAsia="zh-CN"/>
        </w:rPr>
        <w:t>甲方</w:t>
      </w:r>
      <w:r>
        <w:rPr>
          <w:rFonts w:hint="eastAsia" w:ascii="仿宋" w:hAnsi="仿宋" w:eastAsia="仿宋" w:cs="仿宋"/>
          <w:color w:val="auto"/>
          <w:kern w:val="0"/>
          <w:sz w:val="28"/>
          <w:szCs w:val="28"/>
          <w:highlight w:val="none"/>
        </w:rPr>
        <w:t>组织的政府采购活动。</w:t>
      </w:r>
    </w:p>
    <w:p w14:paraId="5AFD6E30">
      <w:pPr>
        <w:keepNext w:val="0"/>
        <w:keepLines w:val="0"/>
        <w:pageBreakBefore w:val="0"/>
        <w:widowControl/>
        <w:shd w:val="clear" w:color="auto" w:fill="FFFFFF"/>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四、</w:t>
      </w:r>
      <w:r>
        <w:rPr>
          <w:rFonts w:hint="eastAsia" w:ascii="仿宋" w:hAnsi="仿宋" w:eastAsia="仿宋" w:cs="仿宋"/>
          <w:b/>
          <w:bCs/>
          <w:color w:val="auto"/>
          <w:kern w:val="0"/>
          <w:sz w:val="28"/>
          <w:szCs w:val="28"/>
          <w:highlight w:val="none"/>
        </w:rPr>
        <w:t>合同的转让</w:t>
      </w:r>
    </w:p>
    <w:p w14:paraId="1BAC841D">
      <w:pPr>
        <w:keepNext w:val="0"/>
        <w:keepLines w:val="0"/>
        <w:pageBreakBefore w:val="0"/>
        <w:widowControl/>
        <w:shd w:val="clear" w:color="auto" w:fill="FFFFFF"/>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color w:val="auto"/>
          <w:kern w:val="0"/>
          <w:sz w:val="28"/>
          <w:szCs w:val="28"/>
          <w:highlight w:val="none"/>
        </w:rPr>
        <w:t>乙方不得擅自部分或全部转让其应履行的合同义务。</w:t>
      </w:r>
    </w:p>
    <w:bookmarkEnd w:id="8"/>
    <w:p w14:paraId="797AC92F">
      <w:pPr>
        <w:pStyle w:val="2"/>
        <w:rPr>
          <w:rFonts w:hint="eastAsia" w:ascii="仿宋" w:hAnsi="仿宋" w:eastAsia="仿宋" w:cs="仿宋"/>
          <w:color w:val="auto"/>
          <w:kern w:val="0"/>
          <w:sz w:val="28"/>
          <w:szCs w:val="28"/>
          <w:highlight w:val="none"/>
        </w:rPr>
      </w:pPr>
    </w:p>
    <w:p w14:paraId="501C518C">
      <w:pPr>
        <w:pStyle w:val="3"/>
        <w:rPr>
          <w:rFonts w:hint="eastAsia" w:ascii="仿宋" w:hAnsi="仿宋" w:eastAsia="仿宋" w:cs="仿宋"/>
          <w:color w:val="auto"/>
          <w:sz w:val="28"/>
          <w:szCs w:val="28"/>
          <w:highlight w:val="none"/>
        </w:rPr>
      </w:pPr>
    </w:p>
    <w:tbl>
      <w:tblPr>
        <w:tblStyle w:val="17"/>
        <w:tblW w:w="9286" w:type="dxa"/>
        <w:tblInd w:w="0" w:type="dxa"/>
        <w:tblLayout w:type="fixed"/>
        <w:tblCellMar>
          <w:top w:w="0" w:type="dxa"/>
          <w:left w:w="108" w:type="dxa"/>
          <w:bottom w:w="0" w:type="dxa"/>
          <w:right w:w="108" w:type="dxa"/>
        </w:tblCellMar>
      </w:tblPr>
      <w:tblGrid>
        <w:gridCol w:w="4643"/>
        <w:gridCol w:w="4643"/>
      </w:tblGrid>
      <w:tr w14:paraId="6BA6942E">
        <w:tblPrEx>
          <w:tblCellMar>
            <w:top w:w="0" w:type="dxa"/>
            <w:left w:w="108" w:type="dxa"/>
            <w:bottom w:w="0" w:type="dxa"/>
            <w:right w:w="108" w:type="dxa"/>
          </w:tblCellMar>
        </w:tblPrEx>
        <w:trPr>
          <w:trHeight w:val="257" w:hRule="atLeast"/>
        </w:trPr>
        <w:tc>
          <w:tcPr>
            <w:tcW w:w="4643" w:type="dxa"/>
            <w:tcBorders>
              <w:top w:val="nil"/>
              <w:left w:val="nil"/>
              <w:bottom w:val="nil"/>
              <w:right w:val="nil"/>
            </w:tcBorders>
            <w:noWrap w:val="0"/>
            <w:vAlign w:val="center"/>
          </w:tcPr>
          <w:p w14:paraId="462F2B7A">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63A576A1">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0CA48E0C">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717E30C8">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25C4511A">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甲方（委托方）：（盖章）</w:t>
            </w:r>
          </w:p>
        </w:tc>
        <w:tc>
          <w:tcPr>
            <w:tcW w:w="4643" w:type="dxa"/>
            <w:tcBorders>
              <w:top w:val="nil"/>
              <w:left w:val="nil"/>
              <w:bottom w:val="nil"/>
              <w:right w:val="nil"/>
            </w:tcBorders>
            <w:noWrap w:val="0"/>
            <w:vAlign w:val="center"/>
          </w:tcPr>
          <w:p w14:paraId="52954D1D">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1D2F8BA8">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3E585D54">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784CBE64">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p>
          <w:p w14:paraId="28D332FE">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乙方：（盖章）</w:t>
            </w:r>
          </w:p>
        </w:tc>
      </w:tr>
      <w:tr w14:paraId="0EEB1754">
        <w:tblPrEx>
          <w:tblCellMar>
            <w:top w:w="0" w:type="dxa"/>
            <w:left w:w="108" w:type="dxa"/>
            <w:bottom w:w="0" w:type="dxa"/>
            <w:right w:w="108" w:type="dxa"/>
          </w:tblCellMar>
        </w:tblPrEx>
        <w:trPr>
          <w:trHeight w:val="362" w:hRule="atLeast"/>
        </w:trPr>
        <w:tc>
          <w:tcPr>
            <w:tcW w:w="4643" w:type="dxa"/>
            <w:tcBorders>
              <w:top w:val="nil"/>
              <w:left w:val="nil"/>
              <w:bottom w:val="nil"/>
              <w:right w:val="nil"/>
            </w:tcBorders>
            <w:noWrap w:val="0"/>
            <w:vAlign w:val="center"/>
          </w:tcPr>
          <w:p w14:paraId="772CFF13">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法定代表人：</w:t>
            </w:r>
          </w:p>
        </w:tc>
        <w:tc>
          <w:tcPr>
            <w:tcW w:w="4643" w:type="dxa"/>
            <w:tcBorders>
              <w:top w:val="nil"/>
              <w:left w:val="nil"/>
              <w:bottom w:val="nil"/>
              <w:right w:val="nil"/>
            </w:tcBorders>
            <w:noWrap w:val="0"/>
            <w:vAlign w:val="center"/>
          </w:tcPr>
          <w:p w14:paraId="3D588B1E">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法定或委托代表人</w:t>
            </w:r>
            <w:r>
              <w:rPr>
                <w:rFonts w:hint="eastAsia" w:ascii="仿宋" w:hAnsi="仿宋" w:eastAsia="仿宋" w:cs="仿宋"/>
                <w:color w:val="auto"/>
                <w:kern w:val="0"/>
                <w:sz w:val="28"/>
                <w:szCs w:val="28"/>
                <w:highlight w:val="none"/>
              </w:rPr>
              <w:t>：</w:t>
            </w:r>
          </w:p>
        </w:tc>
      </w:tr>
      <w:tr w14:paraId="6DEF05F1">
        <w:tblPrEx>
          <w:tblCellMar>
            <w:top w:w="0" w:type="dxa"/>
            <w:left w:w="108" w:type="dxa"/>
            <w:bottom w:w="0" w:type="dxa"/>
            <w:right w:w="108" w:type="dxa"/>
          </w:tblCellMar>
        </w:tblPrEx>
        <w:trPr>
          <w:trHeight w:val="251" w:hRule="atLeast"/>
        </w:trPr>
        <w:tc>
          <w:tcPr>
            <w:tcW w:w="4643" w:type="dxa"/>
            <w:tcBorders>
              <w:top w:val="nil"/>
              <w:left w:val="nil"/>
              <w:bottom w:val="nil"/>
              <w:right w:val="nil"/>
            </w:tcBorders>
            <w:noWrap w:val="0"/>
            <w:vAlign w:val="center"/>
          </w:tcPr>
          <w:p w14:paraId="41517AE0">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电话：</w:t>
            </w:r>
          </w:p>
        </w:tc>
        <w:tc>
          <w:tcPr>
            <w:tcW w:w="4643" w:type="dxa"/>
            <w:tcBorders>
              <w:top w:val="nil"/>
              <w:left w:val="nil"/>
              <w:bottom w:val="nil"/>
              <w:right w:val="nil"/>
            </w:tcBorders>
            <w:noWrap w:val="0"/>
            <w:vAlign w:val="center"/>
          </w:tcPr>
          <w:p w14:paraId="49D6C606">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电话：</w:t>
            </w:r>
          </w:p>
        </w:tc>
      </w:tr>
      <w:tr w14:paraId="798BE7C1">
        <w:tblPrEx>
          <w:tblCellMar>
            <w:top w:w="0" w:type="dxa"/>
            <w:left w:w="108" w:type="dxa"/>
            <w:bottom w:w="0" w:type="dxa"/>
            <w:right w:w="108" w:type="dxa"/>
          </w:tblCellMar>
        </w:tblPrEx>
        <w:trPr>
          <w:trHeight w:val="283" w:hRule="atLeast"/>
        </w:trPr>
        <w:tc>
          <w:tcPr>
            <w:tcW w:w="4643" w:type="dxa"/>
            <w:tcBorders>
              <w:top w:val="nil"/>
              <w:left w:val="nil"/>
              <w:bottom w:val="nil"/>
              <w:right w:val="nil"/>
            </w:tcBorders>
            <w:noWrap w:val="0"/>
            <w:vAlign w:val="center"/>
          </w:tcPr>
          <w:p w14:paraId="669061DE">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开户银行：</w:t>
            </w:r>
          </w:p>
        </w:tc>
        <w:tc>
          <w:tcPr>
            <w:tcW w:w="4643" w:type="dxa"/>
            <w:tcBorders>
              <w:top w:val="nil"/>
              <w:left w:val="nil"/>
              <w:bottom w:val="nil"/>
              <w:right w:val="nil"/>
            </w:tcBorders>
            <w:noWrap w:val="0"/>
            <w:vAlign w:val="center"/>
          </w:tcPr>
          <w:p w14:paraId="7D995B35">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zh-CN"/>
              </w:rPr>
              <w:t>开户银行：</w:t>
            </w:r>
          </w:p>
        </w:tc>
      </w:tr>
      <w:tr w14:paraId="1B2E3C00">
        <w:tblPrEx>
          <w:tblCellMar>
            <w:top w:w="0" w:type="dxa"/>
            <w:left w:w="108" w:type="dxa"/>
            <w:bottom w:w="0" w:type="dxa"/>
            <w:right w:w="108" w:type="dxa"/>
          </w:tblCellMar>
        </w:tblPrEx>
        <w:trPr>
          <w:trHeight w:val="315" w:hRule="atLeast"/>
        </w:trPr>
        <w:tc>
          <w:tcPr>
            <w:tcW w:w="4643" w:type="dxa"/>
            <w:tcBorders>
              <w:top w:val="nil"/>
              <w:left w:val="nil"/>
              <w:bottom w:val="nil"/>
              <w:right w:val="nil"/>
            </w:tcBorders>
            <w:noWrap w:val="0"/>
            <w:vAlign w:val="center"/>
          </w:tcPr>
          <w:p w14:paraId="31923DA1">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账</w:t>
            </w:r>
            <w:r>
              <w:rPr>
                <w:rFonts w:hint="eastAsia" w:ascii="仿宋" w:hAnsi="仿宋" w:eastAsia="仿宋" w:cs="仿宋"/>
                <w:color w:val="auto"/>
                <w:kern w:val="0"/>
                <w:sz w:val="28"/>
                <w:szCs w:val="28"/>
                <w:highlight w:val="none"/>
                <w:lang w:val="zh-CN"/>
              </w:rPr>
              <w:t>号：</w:t>
            </w:r>
          </w:p>
        </w:tc>
        <w:tc>
          <w:tcPr>
            <w:tcW w:w="4643" w:type="dxa"/>
            <w:tcBorders>
              <w:top w:val="nil"/>
              <w:left w:val="nil"/>
              <w:bottom w:val="nil"/>
              <w:right w:val="nil"/>
            </w:tcBorders>
            <w:noWrap w:val="0"/>
            <w:vAlign w:val="center"/>
          </w:tcPr>
          <w:p w14:paraId="4C3ACB9F">
            <w:pPr>
              <w:widowControl/>
              <w:shd w:val="clear" w:color="auto" w:fill="FFFFFF"/>
              <w:spacing w:line="360" w:lineRule="auto"/>
              <w:ind w:firstLine="42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账</w:t>
            </w:r>
            <w:r>
              <w:rPr>
                <w:rFonts w:hint="eastAsia" w:ascii="仿宋" w:hAnsi="仿宋" w:eastAsia="仿宋" w:cs="仿宋"/>
                <w:color w:val="auto"/>
                <w:kern w:val="0"/>
                <w:sz w:val="28"/>
                <w:szCs w:val="28"/>
                <w:highlight w:val="none"/>
                <w:lang w:val="zh-CN"/>
              </w:rPr>
              <w:t>号：</w:t>
            </w:r>
          </w:p>
        </w:tc>
      </w:tr>
      <w:tr w14:paraId="1416BC42">
        <w:tblPrEx>
          <w:tblCellMar>
            <w:top w:w="0" w:type="dxa"/>
            <w:left w:w="108" w:type="dxa"/>
            <w:bottom w:w="0" w:type="dxa"/>
            <w:right w:w="108" w:type="dxa"/>
          </w:tblCellMar>
        </w:tblPrEx>
        <w:trPr>
          <w:trHeight w:val="572" w:hRule="atLeast"/>
        </w:trPr>
        <w:tc>
          <w:tcPr>
            <w:tcW w:w="4643" w:type="dxa"/>
            <w:tcBorders>
              <w:top w:val="nil"/>
              <w:left w:val="nil"/>
              <w:bottom w:val="nil"/>
              <w:right w:val="nil"/>
            </w:tcBorders>
            <w:noWrap w:val="0"/>
            <w:vAlign w:val="center"/>
          </w:tcPr>
          <w:p w14:paraId="4CAB04CF">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日期： 年 月 日</w:t>
            </w:r>
          </w:p>
        </w:tc>
        <w:tc>
          <w:tcPr>
            <w:tcW w:w="4643" w:type="dxa"/>
            <w:tcBorders>
              <w:top w:val="nil"/>
              <w:left w:val="nil"/>
              <w:bottom w:val="nil"/>
              <w:right w:val="nil"/>
            </w:tcBorders>
            <w:noWrap w:val="0"/>
            <w:vAlign w:val="center"/>
          </w:tcPr>
          <w:p w14:paraId="3E56FF05">
            <w:pPr>
              <w:widowControl/>
              <w:shd w:val="clear" w:color="auto" w:fill="FFFFFF"/>
              <w:spacing w:line="360" w:lineRule="auto"/>
              <w:ind w:firstLine="42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日期： 年 月 日</w:t>
            </w:r>
          </w:p>
        </w:tc>
      </w:tr>
    </w:tbl>
    <w:p w14:paraId="5E07DBE4">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2D566FE6">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5729028F">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7166ABDF">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5F4F1397">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2C8CCF11">
      <w:pPr>
        <w:keepNext w:val="0"/>
        <w:keepLines w:val="0"/>
        <w:pageBreakBefore w:val="0"/>
        <w:overflowPunct/>
        <w:topLinePunct w:val="0"/>
        <w:bidi w:val="0"/>
        <w:spacing w:line="400" w:lineRule="exact"/>
        <w:jc w:val="center"/>
        <w:outlineLvl w:val="0"/>
        <w:rPr>
          <w:rFonts w:hint="eastAsia" w:ascii="仿宋" w:hAnsi="仿宋" w:eastAsia="仿宋" w:cs="仿宋"/>
          <w:b/>
          <w:color w:val="auto"/>
          <w:sz w:val="28"/>
          <w:szCs w:val="28"/>
          <w:highlight w:val="none"/>
          <w:lang w:val="zh-CN"/>
        </w:rPr>
      </w:pPr>
    </w:p>
    <w:p w14:paraId="3C6B4A96">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7272231C">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68866A5F">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5E684585">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zh-CN" w:eastAsia="zh-CN" w:bidi="ar-SA"/>
        </w:rPr>
      </w:pPr>
    </w:p>
    <w:p w14:paraId="26003E1C">
      <w:pPr>
        <w:keepNext w:val="0"/>
        <w:keepLines w:val="0"/>
        <w:pageBreakBefore w:val="0"/>
        <w:overflowPunct/>
        <w:topLinePunct w:val="0"/>
        <w:bidi w:val="0"/>
        <w:spacing w:line="400" w:lineRule="exact"/>
        <w:jc w:val="center"/>
        <w:outlineLvl w:val="0"/>
        <w:rPr>
          <w:rFonts w:hint="eastAsia" w:ascii="宋体" w:hAnsi="宋体" w:eastAsia="宋体" w:cs="黑体"/>
          <w:b/>
          <w:color w:val="auto"/>
          <w:kern w:val="2"/>
          <w:sz w:val="36"/>
          <w:szCs w:val="36"/>
          <w:highlight w:val="none"/>
          <w:lang w:val="en-US" w:eastAsia="zh-CN" w:bidi="ar-SA"/>
        </w:rPr>
      </w:pPr>
      <w:r>
        <w:rPr>
          <w:rFonts w:hint="eastAsia" w:ascii="宋体" w:hAnsi="宋体" w:eastAsia="宋体" w:cs="黑体"/>
          <w:b/>
          <w:color w:val="auto"/>
          <w:kern w:val="2"/>
          <w:sz w:val="36"/>
          <w:szCs w:val="36"/>
          <w:highlight w:val="none"/>
          <w:lang w:val="zh-CN" w:eastAsia="zh-CN" w:bidi="ar-SA"/>
        </w:rPr>
        <w:t>第</w:t>
      </w:r>
      <w:r>
        <w:rPr>
          <w:rFonts w:hint="eastAsia" w:ascii="宋体" w:hAnsi="宋体" w:cs="黑体"/>
          <w:b/>
          <w:color w:val="auto"/>
          <w:kern w:val="2"/>
          <w:sz w:val="36"/>
          <w:szCs w:val="36"/>
          <w:highlight w:val="none"/>
          <w:lang w:val="en-US" w:eastAsia="zh-CN" w:bidi="ar-SA"/>
        </w:rPr>
        <w:t>七</w:t>
      </w:r>
      <w:r>
        <w:rPr>
          <w:rFonts w:hint="eastAsia" w:ascii="宋体" w:hAnsi="宋体" w:eastAsia="宋体" w:cs="黑体"/>
          <w:b/>
          <w:color w:val="auto"/>
          <w:kern w:val="2"/>
          <w:sz w:val="36"/>
          <w:szCs w:val="36"/>
          <w:highlight w:val="none"/>
          <w:lang w:val="zh-CN" w:eastAsia="zh-CN" w:bidi="ar-SA"/>
        </w:rPr>
        <w:t xml:space="preserve">章 </w:t>
      </w:r>
      <w:r>
        <w:rPr>
          <w:rFonts w:hint="eastAsia" w:ascii="宋体" w:hAnsi="宋体" w:cs="黑体"/>
          <w:b/>
          <w:color w:val="auto"/>
          <w:kern w:val="2"/>
          <w:sz w:val="36"/>
          <w:szCs w:val="36"/>
          <w:highlight w:val="none"/>
          <w:lang w:val="en-US" w:eastAsia="zh-CN" w:bidi="ar-SA"/>
        </w:rPr>
        <w:t>响应</w:t>
      </w:r>
      <w:r>
        <w:rPr>
          <w:rFonts w:hint="eastAsia" w:ascii="宋体" w:hAnsi="宋体" w:eastAsia="宋体" w:cs="黑体"/>
          <w:b/>
          <w:color w:val="auto"/>
          <w:kern w:val="2"/>
          <w:sz w:val="36"/>
          <w:szCs w:val="36"/>
          <w:highlight w:val="none"/>
          <w:lang w:val="zh-CN" w:eastAsia="zh-CN" w:bidi="ar-SA"/>
        </w:rPr>
        <w:t>文件格式及附件</w:t>
      </w:r>
    </w:p>
    <w:p w14:paraId="685DCE28">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lang w:val="en-US" w:eastAsia="zh-CN"/>
        </w:rPr>
      </w:pPr>
    </w:p>
    <w:p w14:paraId="5D060E4A">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lang w:val="en-US" w:eastAsia="zh-CN"/>
        </w:rPr>
      </w:pPr>
    </w:p>
    <w:p w14:paraId="573B9F5B">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en-US" w:eastAsia="zh-CN"/>
        </w:rPr>
        <w:t>投</w:t>
      </w:r>
      <w:r>
        <w:rPr>
          <w:rFonts w:hint="eastAsia" w:ascii="仿宋" w:hAnsi="仿宋" w:eastAsia="仿宋" w:cs="仿宋"/>
          <w:b/>
          <w:color w:val="auto"/>
          <w:sz w:val="28"/>
          <w:szCs w:val="28"/>
          <w:highlight w:val="none"/>
        </w:rPr>
        <w:t xml:space="preserve">  </w:t>
      </w:r>
      <w:r>
        <w:rPr>
          <w:rFonts w:hint="eastAsia" w:ascii="仿宋" w:hAnsi="仿宋" w:eastAsia="仿宋" w:cs="仿宋"/>
          <w:b/>
          <w:color w:val="auto"/>
          <w:sz w:val="28"/>
          <w:szCs w:val="28"/>
          <w:highlight w:val="none"/>
          <w:lang w:val="en-US" w:eastAsia="zh-CN"/>
        </w:rPr>
        <w:t>标</w:t>
      </w:r>
      <w:r>
        <w:rPr>
          <w:rFonts w:hint="eastAsia" w:ascii="仿宋" w:hAnsi="仿宋" w:eastAsia="仿宋" w:cs="仿宋"/>
          <w:b/>
          <w:color w:val="auto"/>
          <w:sz w:val="28"/>
          <w:szCs w:val="28"/>
          <w:highlight w:val="none"/>
        </w:rPr>
        <w:t xml:space="preserve">  文  件</w:t>
      </w:r>
    </w:p>
    <w:p w14:paraId="2F4B9C36">
      <w:pPr>
        <w:keepNext w:val="0"/>
        <w:keepLines w:val="0"/>
        <w:pageBreakBefore w:val="0"/>
        <w:overflowPunct/>
        <w:topLinePunct w:val="0"/>
        <w:bidi w:val="0"/>
        <w:spacing w:line="400" w:lineRule="exact"/>
        <w:ind w:firstLine="2884" w:firstLineChars="1026"/>
        <w:rPr>
          <w:rFonts w:hint="eastAsia" w:ascii="仿宋" w:hAnsi="仿宋" w:eastAsia="仿宋" w:cs="仿宋"/>
          <w:b/>
          <w:color w:val="auto"/>
          <w:sz w:val="28"/>
          <w:szCs w:val="28"/>
          <w:highlight w:val="none"/>
        </w:rPr>
      </w:pPr>
    </w:p>
    <w:p w14:paraId="40FC81E1">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rPr>
      </w:pPr>
    </w:p>
    <w:p w14:paraId="15CFA6E3">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rPr>
      </w:pPr>
    </w:p>
    <w:p w14:paraId="05055C49">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rPr>
      </w:pPr>
    </w:p>
    <w:p w14:paraId="54B5CBD0">
      <w:pPr>
        <w:keepNext w:val="0"/>
        <w:keepLines w:val="0"/>
        <w:pageBreakBefore w:val="0"/>
        <w:overflowPunct/>
        <w:topLinePunct w:val="0"/>
        <w:bidi w:val="0"/>
        <w:spacing w:line="400" w:lineRule="exact"/>
        <w:jc w:val="center"/>
        <w:rPr>
          <w:rFonts w:hint="eastAsia" w:ascii="仿宋" w:hAnsi="仿宋" w:eastAsia="仿宋" w:cs="仿宋"/>
          <w:b/>
          <w:color w:val="auto"/>
          <w:sz w:val="28"/>
          <w:szCs w:val="28"/>
          <w:highlight w:val="none"/>
        </w:rPr>
      </w:pPr>
    </w:p>
    <w:p w14:paraId="529512AE">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2DE45134">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1D980903">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6CB8E8D9">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3CF65509">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4EAA2686">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44D8C5CD">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098FEE19">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07DCD85D">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6343C556">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1A4F1FDD">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789D6B74">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0B29A49E">
      <w:pPr>
        <w:keepNext w:val="0"/>
        <w:keepLines w:val="0"/>
        <w:pageBreakBefore w:val="0"/>
        <w:overflowPunct/>
        <w:topLinePunct w:val="0"/>
        <w:bidi w:val="0"/>
        <w:spacing w:line="400" w:lineRule="exact"/>
        <w:ind w:firstLine="1084"/>
        <w:rPr>
          <w:rFonts w:hint="eastAsia" w:ascii="仿宋" w:hAnsi="仿宋" w:eastAsia="仿宋" w:cs="仿宋"/>
          <w:b/>
          <w:color w:val="auto"/>
          <w:sz w:val="28"/>
          <w:szCs w:val="28"/>
          <w:highlight w:val="none"/>
        </w:rPr>
      </w:pPr>
    </w:p>
    <w:p w14:paraId="1C1C10C2">
      <w:pPr>
        <w:keepNext w:val="0"/>
        <w:keepLines w:val="0"/>
        <w:pageBreakBefore w:val="0"/>
        <w:overflowPunct/>
        <w:topLinePunct w:val="0"/>
        <w:bidi w:val="0"/>
        <w:spacing w:line="400" w:lineRule="exact"/>
        <w:ind w:firstLine="1084"/>
        <w:rPr>
          <w:rFonts w:hint="eastAsia" w:ascii="仿宋" w:hAnsi="仿宋" w:eastAsia="仿宋" w:cs="仿宋"/>
          <w:b/>
          <w:bCs/>
          <w:color w:val="auto"/>
          <w:sz w:val="28"/>
          <w:szCs w:val="28"/>
          <w:highlight w:val="none"/>
          <w:u w:val="single"/>
        </w:rPr>
      </w:pPr>
      <w:r>
        <w:rPr>
          <w:rFonts w:hint="eastAsia" w:ascii="仿宋" w:hAnsi="仿宋" w:eastAsia="仿宋" w:cs="仿宋"/>
          <w:b/>
          <w:color w:val="auto"/>
          <w:sz w:val="28"/>
          <w:szCs w:val="28"/>
          <w:highlight w:val="none"/>
        </w:rPr>
        <w:t xml:space="preserve">项 </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 xml:space="preserve">目 </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 xml:space="preserve">名 </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称：</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u w:val="single"/>
        </w:rPr>
        <w:t xml:space="preserve">   </w:t>
      </w:r>
    </w:p>
    <w:p w14:paraId="302AF931">
      <w:pPr>
        <w:keepNext w:val="0"/>
        <w:keepLines w:val="0"/>
        <w:pageBreakBefore w:val="0"/>
        <w:overflowPunct/>
        <w:topLinePunct w:val="0"/>
        <w:bidi w:val="0"/>
        <w:spacing w:line="400" w:lineRule="exact"/>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 xml:space="preserve">      </w:t>
      </w:r>
      <w:r>
        <w:rPr>
          <w:rFonts w:hint="eastAsia" w:ascii="仿宋" w:hAnsi="仿宋" w:eastAsia="仿宋" w:cs="仿宋"/>
          <w:b/>
          <w:color w:val="auto"/>
          <w:sz w:val="28"/>
          <w:szCs w:val="28"/>
          <w:highlight w:val="none"/>
          <w:lang w:val="en-US" w:eastAsia="zh-CN"/>
        </w:rPr>
        <w:t xml:space="preserve">  </w:t>
      </w:r>
    </w:p>
    <w:p w14:paraId="10CF4F6C">
      <w:pPr>
        <w:keepNext w:val="0"/>
        <w:keepLines w:val="0"/>
        <w:pageBreakBefore w:val="0"/>
        <w:overflowPunct/>
        <w:topLinePunct w:val="0"/>
        <w:bidi w:val="0"/>
        <w:spacing w:line="400" w:lineRule="exact"/>
        <w:ind w:firstLine="1124" w:firstLineChars="400"/>
        <w:rPr>
          <w:rFonts w:hint="eastAsia" w:ascii="仿宋" w:hAnsi="仿宋" w:eastAsia="仿宋" w:cs="仿宋"/>
          <w:b/>
          <w:color w:val="auto"/>
          <w:sz w:val="28"/>
          <w:szCs w:val="28"/>
          <w:highlight w:val="none"/>
          <w:u w:val="single"/>
          <w:lang w:val="en-US" w:eastAsia="zh-CN"/>
        </w:rPr>
      </w:pPr>
      <w:r>
        <w:rPr>
          <w:rFonts w:hint="eastAsia" w:ascii="仿宋" w:hAnsi="仿宋" w:eastAsia="仿宋" w:cs="仿宋"/>
          <w:b/>
          <w:color w:val="auto"/>
          <w:sz w:val="28"/>
          <w:szCs w:val="28"/>
          <w:highlight w:val="none"/>
          <w:lang w:val="en-US" w:eastAsia="zh-CN"/>
        </w:rPr>
        <w:t xml:space="preserve">供 应 商 </w:t>
      </w:r>
      <w:r>
        <w:rPr>
          <w:rFonts w:hint="eastAsia" w:ascii="仿宋" w:hAnsi="仿宋" w:eastAsia="仿宋" w:cs="仿宋"/>
          <w:b/>
          <w:color w:val="auto"/>
          <w:sz w:val="28"/>
          <w:szCs w:val="28"/>
          <w:highlight w:val="none"/>
        </w:rPr>
        <w:t>名</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称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u w:val="single"/>
          <w:lang w:eastAsia="zh-CN"/>
        </w:rPr>
        <w:t>（</w:t>
      </w:r>
      <w:r>
        <w:rPr>
          <w:rFonts w:hint="eastAsia" w:ascii="仿宋" w:hAnsi="仿宋" w:eastAsia="仿宋" w:cs="仿宋"/>
          <w:b/>
          <w:color w:val="auto"/>
          <w:sz w:val="28"/>
          <w:szCs w:val="28"/>
          <w:highlight w:val="none"/>
          <w:u w:val="single"/>
          <w:lang w:val="en-US" w:eastAsia="zh-CN"/>
        </w:rPr>
        <w:t>盖公章</w:t>
      </w:r>
      <w:r>
        <w:rPr>
          <w:rFonts w:hint="eastAsia" w:ascii="仿宋" w:hAnsi="仿宋" w:eastAsia="仿宋" w:cs="仿宋"/>
          <w:b/>
          <w:color w:val="auto"/>
          <w:sz w:val="28"/>
          <w:szCs w:val="28"/>
          <w:highlight w:val="none"/>
          <w:u w:val="single"/>
          <w:lang w:eastAsia="zh-CN"/>
        </w:rPr>
        <w:t>）</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lang w:val="en-US" w:eastAsia="zh-CN"/>
        </w:rPr>
        <w:t xml:space="preserve">             </w:t>
      </w:r>
    </w:p>
    <w:p w14:paraId="5C50E527">
      <w:pPr>
        <w:keepNext w:val="0"/>
        <w:keepLines w:val="0"/>
        <w:pageBreakBefore w:val="0"/>
        <w:overflowPunct/>
        <w:topLinePunct w:val="0"/>
        <w:bidi w:val="0"/>
        <w:spacing w:line="400" w:lineRule="exact"/>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 xml:space="preserve">      </w:t>
      </w:r>
      <w:r>
        <w:rPr>
          <w:rFonts w:hint="eastAsia" w:ascii="仿宋" w:hAnsi="仿宋" w:eastAsia="仿宋" w:cs="仿宋"/>
          <w:b/>
          <w:color w:val="auto"/>
          <w:sz w:val="28"/>
          <w:szCs w:val="28"/>
          <w:highlight w:val="none"/>
          <w:lang w:val="en-US" w:eastAsia="zh-CN"/>
        </w:rPr>
        <w:t xml:space="preserve"> </w:t>
      </w:r>
    </w:p>
    <w:p w14:paraId="2914D1E0">
      <w:pPr>
        <w:keepNext w:val="0"/>
        <w:keepLines w:val="0"/>
        <w:pageBreakBefore w:val="0"/>
        <w:overflowPunct/>
        <w:topLinePunct w:val="0"/>
        <w:bidi w:val="0"/>
        <w:spacing w:line="400" w:lineRule="exact"/>
        <w:ind w:firstLine="1124" w:firstLineChars="4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日     </w:t>
      </w:r>
      <w:r>
        <w:rPr>
          <w:rFonts w:hint="eastAsia" w:ascii="仿宋" w:hAnsi="仿宋" w:eastAsia="仿宋" w:cs="仿宋"/>
          <w:b/>
          <w:color w:val="auto"/>
          <w:sz w:val="28"/>
          <w:szCs w:val="28"/>
          <w:highlight w:val="none"/>
          <w:lang w:val="en-US" w:eastAsia="zh-CN"/>
        </w:rPr>
        <w:t xml:space="preserve">    </w:t>
      </w:r>
      <w:r>
        <w:rPr>
          <w:rFonts w:hint="eastAsia" w:ascii="仿宋" w:hAnsi="仿宋" w:eastAsia="仿宋" w:cs="仿宋"/>
          <w:b/>
          <w:color w:val="auto"/>
          <w:sz w:val="28"/>
          <w:szCs w:val="28"/>
          <w:highlight w:val="none"/>
        </w:rPr>
        <w:t xml:space="preserve"> 期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u w:val="single"/>
        </w:rPr>
        <w:t xml:space="preserve">    </w:t>
      </w:r>
    </w:p>
    <w:p w14:paraId="139E2F25">
      <w:pPr>
        <w:keepNext w:val="0"/>
        <w:keepLines w:val="0"/>
        <w:pageBreakBefore w:val="0"/>
        <w:overflowPunct/>
        <w:topLinePunct w:val="0"/>
        <w:bidi w:val="0"/>
        <w:spacing w:beforeLines="100" w:line="400" w:lineRule="exact"/>
        <w:jc w:val="left"/>
        <w:rPr>
          <w:rFonts w:hint="eastAsia" w:ascii="仿宋" w:hAnsi="仿宋" w:eastAsia="仿宋" w:cs="仿宋"/>
          <w:color w:val="auto"/>
          <w:sz w:val="28"/>
          <w:szCs w:val="28"/>
          <w:highlight w:val="none"/>
        </w:rPr>
      </w:pPr>
    </w:p>
    <w:p w14:paraId="40CAF778">
      <w:pPr>
        <w:keepNext w:val="0"/>
        <w:keepLines w:val="0"/>
        <w:pageBreakBefore w:val="0"/>
        <w:overflowPunct/>
        <w:topLinePunct w:val="0"/>
        <w:bidi w:val="0"/>
        <w:spacing w:beforeLines="100" w:line="400" w:lineRule="exact"/>
        <w:jc w:val="left"/>
        <w:rPr>
          <w:rFonts w:hint="eastAsia" w:ascii="仿宋" w:hAnsi="仿宋" w:eastAsia="仿宋" w:cs="仿宋"/>
          <w:color w:val="auto"/>
          <w:sz w:val="28"/>
          <w:szCs w:val="28"/>
          <w:highlight w:val="none"/>
        </w:rPr>
      </w:pPr>
    </w:p>
    <w:p w14:paraId="42BFCD96">
      <w:pPr>
        <w:keepNext w:val="0"/>
        <w:keepLines w:val="0"/>
        <w:pageBreakBefore w:val="0"/>
        <w:overflowPunct/>
        <w:topLinePunct w:val="0"/>
        <w:bidi w:val="0"/>
        <w:spacing w:beforeLines="100" w:line="400" w:lineRule="exact"/>
        <w:jc w:val="left"/>
        <w:rPr>
          <w:rFonts w:hint="eastAsia" w:ascii="仿宋" w:hAnsi="仿宋" w:eastAsia="仿宋" w:cs="仿宋"/>
          <w:color w:val="auto"/>
          <w:sz w:val="28"/>
          <w:szCs w:val="28"/>
          <w:highlight w:val="none"/>
        </w:rPr>
      </w:pPr>
    </w:p>
    <w:p w14:paraId="6FF0FDF9">
      <w:pPr>
        <w:pStyle w:val="3"/>
        <w:ind w:left="0" w:leftChars="0" w:firstLine="0" w:firstLineChars="0"/>
        <w:rPr>
          <w:rFonts w:hint="eastAsia" w:ascii="仿宋" w:hAnsi="仿宋" w:eastAsia="仿宋" w:cs="仿宋"/>
          <w:color w:val="auto"/>
          <w:sz w:val="28"/>
          <w:szCs w:val="28"/>
          <w:highlight w:val="none"/>
        </w:rPr>
      </w:pPr>
    </w:p>
    <w:p w14:paraId="4DB2DF20">
      <w:pPr>
        <w:pStyle w:val="3"/>
        <w:ind w:left="0" w:leftChars="0" w:firstLine="0" w:firstLineChars="0"/>
        <w:rPr>
          <w:rFonts w:hint="eastAsia" w:ascii="仿宋" w:hAnsi="仿宋" w:eastAsia="仿宋" w:cs="仿宋"/>
          <w:color w:val="auto"/>
          <w:sz w:val="28"/>
          <w:szCs w:val="28"/>
          <w:highlight w:val="none"/>
        </w:rPr>
      </w:pPr>
    </w:p>
    <w:p w14:paraId="4D923FC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目录</w:t>
      </w:r>
    </w:p>
    <w:p w14:paraId="02AE24F8">
      <w:pPr>
        <w:keepNext w:val="0"/>
        <w:keepLines w:val="0"/>
        <w:pageBreakBefore w:val="0"/>
        <w:numPr>
          <w:ilvl w:val="0"/>
          <w:numId w:val="0"/>
        </w:numPr>
        <w:overflowPunct/>
        <w:topLinePunct w:val="0"/>
        <w:bidi w:val="0"/>
        <w:spacing w:line="400" w:lineRule="exact"/>
        <w:jc w:val="center"/>
        <w:rPr>
          <w:rFonts w:hint="default"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（格式自拟）</w:t>
      </w:r>
    </w:p>
    <w:p w14:paraId="29836B4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7EAD2D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61BFBC83">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40D99916">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36F94124">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725098E">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42458364">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078CBB24">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160722F">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3808B1C0">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85FF35F">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6778642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274822C6">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36DF7934">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4DC433A6">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A2AF5DF">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269B6FB">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35EF843">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6E19F94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706A1D5">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3BF72552">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42C31FA4">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53FD1CC">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228A19C1">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5FD30F2">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3308F9B0">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13C32A90">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502D4C9B">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2700E417">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4BB097FB">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7CD23A12">
      <w:pPr>
        <w:keepNext w:val="0"/>
        <w:keepLines w:val="0"/>
        <w:pageBreakBefore w:val="0"/>
        <w:numPr>
          <w:ilvl w:val="0"/>
          <w:numId w:val="0"/>
        </w:numPr>
        <w:overflowPunct/>
        <w:topLinePunct w:val="0"/>
        <w:bidi w:val="0"/>
        <w:spacing w:line="400" w:lineRule="exact"/>
        <w:jc w:val="both"/>
        <w:rPr>
          <w:rFonts w:hint="eastAsia" w:ascii="仿宋" w:hAnsi="仿宋" w:eastAsia="仿宋" w:cs="仿宋"/>
          <w:b/>
          <w:bCs w:val="0"/>
          <w:color w:val="auto"/>
          <w:kern w:val="2"/>
          <w:sz w:val="28"/>
          <w:szCs w:val="28"/>
          <w:highlight w:val="none"/>
          <w:lang w:val="en-US" w:eastAsia="zh-CN" w:bidi="ar-SA"/>
        </w:rPr>
      </w:pPr>
    </w:p>
    <w:p w14:paraId="4E994138">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kern w:val="2"/>
          <w:sz w:val="28"/>
          <w:szCs w:val="28"/>
          <w:highlight w:val="none"/>
          <w:lang w:val="en-US" w:eastAsia="zh-CN" w:bidi="ar-SA"/>
        </w:rPr>
      </w:pPr>
    </w:p>
    <w:p w14:paraId="05E8B6E0">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kern w:val="2"/>
          <w:sz w:val="28"/>
          <w:szCs w:val="28"/>
          <w:highlight w:val="none"/>
          <w:lang w:val="en-US" w:eastAsia="zh-CN" w:bidi="ar-SA"/>
        </w:rPr>
        <w:t>一、</w:t>
      </w:r>
      <w:r>
        <w:rPr>
          <w:rFonts w:hint="eastAsia" w:ascii="仿宋" w:hAnsi="仿宋" w:eastAsia="仿宋" w:cs="仿宋"/>
          <w:b/>
          <w:bCs w:val="0"/>
          <w:color w:val="auto"/>
          <w:sz w:val="28"/>
          <w:szCs w:val="28"/>
          <w:highlight w:val="none"/>
          <w:lang w:val="en-US" w:eastAsia="zh-CN"/>
        </w:rPr>
        <w:t>资格审查证明材料</w:t>
      </w:r>
    </w:p>
    <w:p w14:paraId="647B5A68">
      <w:pPr>
        <w:keepNext w:val="0"/>
        <w:keepLines w:val="0"/>
        <w:pageBreakBefore w:val="0"/>
        <w:numPr>
          <w:ilvl w:val="0"/>
          <w:numId w:val="0"/>
        </w:numPr>
        <w:overflowPunct/>
        <w:topLinePunct w:val="0"/>
        <w:bidi w:val="0"/>
        <w:spacing w:line="400" w:lineRule="exact"/>
        <w:ind w:firstLine="560" w:firstLineChars="200"/>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（一）具有独立承担民事责任的能力（提供营业执照复印件并加盖公章。以分公司名义参与本项目的，分公司须经总公司授权，但其民事责任由总公司承担）。</w:t>
      </w:r>
    </w:p>
    <w:p w14:paraId="555D1F5E">
      <w:pPr>
        <w:keepNext w:val="0"/>
        <w:keepLines w:val="0"/>
        <w:pageBreakBefore w:val="0"/>
        <w:numPr>
          <w:ilvl w:val="0"/>
          <w:numId w:val="0"/>
        </w:numPr>
        <w:overflowPunct/>
        <w:topLinePunct w:val="0"/>
        <w:bidi w:val="0"/>
        <w:spacing w:line="400" w:lineRule="exact"/>
        <w:ind w:firstLine="560" w:firstLineChars="200"/>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（二）供应商须具备快递业务经营许可资格（提供许可证复印件并加盖公章）。</w:t>
      </w:r>
    </w:p>
    <w:p w14:paraId="15CA5E7E">
      <w:pPr>
        <w:keepNext w:val="0"/>
        <w:keepLines w:val="0"/>
        <w:pageBreakBefore w:val="0"/>
        <w:numPr>
          <w:ilvl w:val="0"/>
          <w:numId w:val="0"/>
        </w:numPr>
        <w:overflowPunct/>
        <w:topLinePunct w:val="0"/>
        <w:bidi w:val="0"/>
        <w:spacing w:line="400" w:lineRule="exact"/>
        <w:jc w:val="center"/>
        <w:rPr>
          <w:rFonts w:hint="default"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二、符合性审查</w:t>
      </w:r>
    </w:p>
    <w:p w14:paraId="5D6E09EB">
      <w:pPr>
        <w:keepNext w:val="0"/>
        <w:keepLines w:val="0"/>
        <w:pageBreakBefore w:val="0"/>
        <w:overflowPunct/>
        <w:topLinePunct w:val="0"/>
        <w:bidi w:val="0"/>
        <w:spacing w:beforeLines="50" w:afterLines="50" w:line="400" w:lineRule="exact"/>
        <w:jc w:val="lef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一</w:t>
      </w:r>
      <w:r>
        <w:rPr>
          <w:rFonts w:hint="eastAsia" w:ascii="仿宋" w:hAnsi="仿宋" w:eastAsia="仿宋" w:cs="仿宋"/>
          <w:bCs/>
          <w:color w:val="auto"/>
          <w:sz w:val="28"/>
          <w:szCs w:val="28"/>
          <w:highlight w:val="none"/>
          <w:lang w:eastAsia="zh-CN"/>
        </w:rPr>
        <w:t>）响应</w:t>
      </w:r>
      <w:r>
        <w:rPr>
          <w:rFonts w:hint="eastAsia" w:ascii="仿宋" w:hAnsi="仿宋" w:eastAsia="仿宋" w:cs="仿宋"/>
          <w:bCs/>
          <w:color w:val="auto"/>
          <w:sz w:val="28"/>
          <w:szCs w:val="28"/>
          <w:highlight w:val="none"/>
        </w:rPr>
        <w:t>函</w:t>
      </w:r>
      <w:r>
        <w:rPr>
          <w:rFonts w:hint="eastAsia" w:ascii="仿宋" w:hAnsi="仿宋" w:eastAsia="仿宋" w:cs="仿宋"/>
          <w:bCs/>
          <w:color w:val="auto"/>
          <w:sz w:val="28"/>
          <w:szCs w:val="28"/>
          <w:highlight w:val="none"/>
          <w:lang w:val="en-US" w:eastAsia="zh-CN"/>
        </w:rPr>
        <w:t>格式：</w:t>
      </w:r>
    </w:p>
    <w:p w14:paraId="0DFBBA65">
      <w:pPr>
        <w:keepNext w:val="0"/>
        <w:keepLines w:val="0"/>
        <w:pageBreakBefore w:val="0"/>
        <w:overflowPunct/>
        <w:topLinePunct w:val="0"/>
        <w:bidi w:val="0"/>
        <w:spacing w:line="400" w:lineRule="exac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eastAsia="zh-CN"/>
        </w:rPr>
        <w:t>南京市溧水区中医院</w:t>
      </w:r>
      <w:r>
        <w:rPr>
          <w:rFonts w:hint="eastAsia" w:ascii="仿宋" w:hAnsi="仿宋" w:eastAsia="仿宋" w:cs="仿宋"/>
          <w:color w:val="auto"/>
          <w:sz w:val="28"/>
          <w:szCs w:val="28"/>
          <w:highlight w:val="none"/>
          <w:lang w:val="zh-CN"/>
        </w:rPr>
        <w:t>：</w:t>
      </w:r>
    </w:p>
    <w:p w14:paraId="2DD5A4E1">
      <w:pPr>
        <w:keepNext w:val="0"/>
        <w:keepLines w:val="0"/>
        <w:pageBreakBefore w:val="0"/>
        <w:overflowPunct/>
        <w:topLinePunct w:val="0"/>
        <w:bidi w:val="0"/>
        <w:snapToGrid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根据贵方“南京市溧水区中医院全院快递及医共体一体化物流服务</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招投邀请，正式授权______________（姓名和职务）代表______________（供应商名称）提交响应文件并参加遴选。</w:t>
      </w:r>
    </w:p>
    <w:p w14:paraId="681D879B">
      <w:pPr>
        <w:keepNext w:val="0"/>
        <w:keepLines w:val="0"/>
        <w:pageBreakBefore w:val="0"/>
        <w:overflowPunct/>
        <w:topLinePunct w:val="0"/>
        <w:bidi w:val="0"/>
        <w:snapToGrid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据此函，兹宣布同意如下：</w:t>
      </w:r>
    </w:p>
    <w:p w14:paraId="0B77AF61">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1、我方承诺资质条件完全符合遴选资质要求，同意向贵方提供本次遴选要求的所有资料，并保证所提供资料真实可靠。</w:t>
      </w:r>
    </w:p>
    <w:p w14:paraId="4BDCC63E">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2、我方已详细阅读全部遴选文件，我方已完全理解遴选文件并同意放弃提出对遴选文件误解的权利。</w:t>
      </w:r>
    </w:p>
    <w:p w14:paraId="61ABA328">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w:t>
      </w:r>
      <w:r>
        <w:rPr>
          <w:rFonts w:hint="eastAsia" w:ascii="仿宋" w:hAnsi="仿宋" w:eastAsia="仿宋" w:cs="仿宋"/>
          <w:color w:val="auto"/>
          <w:sz w:val="28"/>
          <w:szCs w:val="28"/>
          <w:highlight w:val="none"/>
        </w:rPr>
        <w:t>我方决不提供虚假材料谋取成交、决不采取不正当手段诋毁、排挤其他商业</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、决不恶意串通、决不进行商业贿赂、决不拒绝有关部门监督检查，如有违反，无条件接受相关管理部门的处罚。</w:t>
      </w:r>
    </w:p>
    <w:p w14:paraId="46F38513">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我方正式通信方式为：</w:t>
      </w:r>
    </w:p>
    <w:p w14:paraId="5E754F9C">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通信地址：________________________邮政编码：________</w:t>
      </w:r>
    </w:p>
    <w:p w14:paraId="1996857A">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电话：_________________    传真：___________________</w:t>
      </w:r>
    </w:p>
    <w:p w14:paraId="12CD7F52">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rPr>
      </w:pPr>
    </w:p>
    <w:p w14:paraId="4BFF89F9">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1DA3E8FF">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p>
    <w:p w14:paraId="6BEE9962">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p>
    <w:p w14:paraId="4D7D76A8">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p>
    <w:p w14:paraId="6AA65EB2">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授权代表签字：</w:t>
      </w:r>
    </w:p>
    <w:p w14:paraId="3D983EBA">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6F18338C">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名称（公章）：</w:t>
      </w:r>
    </w:p>
    <w:p w14:paraId="23EE884A">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428FC343">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2026年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  日</w:t>
      </w:r>
    </w:p>
    <w:p w14:paraId="4147A3CF">
      <w:pPr>
        <w:keepNext w:val="0"/>
        <w:keepLines w:val="0"/>
        <w:pageBreakBefore w:val="0"/>
        <w:overflowPunct/>
        <w:topLinePunct w:val="0"/>
        <w:bidi w:val="0"/>
        <w:spacing w:line="400" w:lineRule="exact"/>
        <w:jc w:val="both"/>
        <w:rPr>
          <w:rFonts w:hint="eastAsia" w:ascii="仿宋" w:hAnsi="仿宋" w:eastAsia="仿宋" w:cs="仿宋"/>
          <w:bCs/>
          <w:color w:val="auto"/>
          <w:sz w:val="28"/>
          <w:szCs w:val="28"/>
          <w:highlight w:val="none"/>
          <w:lang w:val="en-US" w:eastAsia="zh-CN"/>
        </w:rPr>
      </w:pPr>
    </w:p>
    <w:p w14:paraId="7A9E1A3F">
      <w:pPr>
        <w:keepNext w:val="0"/>
        <w:keepLines w:val="0"/>
        <w:pageBreakBefore w:val="0"/>
        <w:overflowPunct/>
        <w:topLinePunct w:val="0"/>
        <w:bidi w:val="0"/>
        <w:spacing w:line="400" w:lineRule="exact"/>
        <w:jc w:val="both"/>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val="en-US" w:eastAsia="zh-CN"/>
        </w:rPr>
        <w:t>（二）</w:t>
      </w:r>
      <w:r>
        <w:rPr>
          <w:rFonts w:hint="eastAsia" w:ascii="仿宋" w:hAnsi="仿宋" w:eastAsia="仿宋" w:cs="仿宋"/>
          <w:bCs/>
          <w:color w:val="auto"/>
          <w:sz w:val="28"/>
          <w:szCs w:val="28"/>
          <w:highlight w:val="none"/>
        </w:rPr>
        <w:t>授权委托书</w:t>
      </w:r>
      <w:r>
        <w:rPr>
          <w:rFonts w:hint="eastAsia" w:ascii="仿宋" w:hAnsi="仿宋" w:eastAsia="仿宋" w:cs="仿宋"/>
          <w:bCs/>
          <w:color w:val="auto"/>
          <w:sz w:val="28"/>
          <w:szCs w:val="28"/>
          <w:highlight w:val="none"/>
          <w:lang w:eastAsia="zh-CN"/>
        </w:rPr>
        <w:t>：</w:t>
      </w:r>
    </w:p>
    <w:p w14:paraId="0143CD8D">
      <w:pPr>
        <w:keepNext w:val="0"/>
        <w:keepLines w:val="0"/>
        <w:pageBreakBefore w:val="0"/>
        <w:overflowPunct/>
        <w:topLinePunct w:val="0"/>
        <w:bidi w:val="0"/>
        <w:spacing w:line="400" w:lineRule="exact"/>
        <w:ind w:firstLine="560" w:firstLineChars="200"/>
        <w:rPr>
          <w:rFonts w:hint="eastAsia" w:ascii="仿宋" w:hAnsi="仿宋" w:eastAsia="仿宋" w:cs="仿宋"/>
          <w:bCs/>
          <w:color w:val="auto"/>
          <w:sz w:val="28"/>
          <w:szCs w:val="28"/>
          <w:highlight w:val="none"/>
        </w:rPr>
      </w:pPr>
    </w:p>
    <w:p w14:paraId="4D848659">
      <w:pPr>
        <w:keepNext w:val="0"/>
        <w:keepLines w:val="0"/>
        <w:pageBreakBefore w:val="0"/>
        <w:overflowPunct/>
        <w:topLinePunct w:val="0"/>
        <w:bidi w:val="0"/>
        <w:spacing w:line="400" w:lineRule="exact"/>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eastAsia="zh-CN"/>
        </w:rPr>
        <w:t>南京市溧水区中医院：</w:t>
      </w:r>
    </w:p>
    <w:p w14:paraId="2F0A0AF0">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p>
    <w:p w14:paraId="365F71A1">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现授权</w:t>
      </w:r>
      <w:r>
        <w:rPr>
          <w:rFonts w:hint="eastAsia" w:ascii="仿宋" w:hAnsi="仿宋" w:eastAsia="仿宋" w:cs="仿宋"/>
          <w:color w:val="auto"/>
          <w:sz w:val="28"/>
          <w:szCs w:val="28"/>
          <w:highlight w:val="none"/>
          <w:u w:val="single"/>
          <w:lang w:val="zh-CN"/>
        </w:rPr>
        <w:t xml:space="preserve">        </w:t>
      </w:r>
      <w:r>
        <w:rPr>
          <w:rFonts w:hint="eastAsia" w:ascii="仿宋" w:hAnsi="仿宋" w:eastAsia="仿宋" w:cs="仿宋"/>
          <w:color w:val="auto"/>
          <w:sz w:val="28"/>
          <w:szCs w:val="28"/>
          <w:highlight w:val="none"/>
          <w:lang w:val="zh-CN"/>
        </w:rPr>
        <w:t>同志为我单位的合法代理人，代表本单位参加贵方组织的“</w:t>
      </w:r>
      <w:r>
        <w:rPr>
          <w:rFonts w:hint="eastAsia" w:ascii="仿宋" w:hAnsi="仿宋" w:eastAsia="仿宋" w:cs="仿宋"/>
          <w:color w:val="auto"/>
          <w:sz w:val="28"/>
          <w:szCs w:val="28"/>
          <w:highlight w:val="none"/>
          <w:lang w:eastAsia="zh-CN"/>
        </w:rPr>
        <w:t>南京市溧水区中医院全院快递及医共体一体化物流服务</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遴选</w:t>
      </w:r>
      <w:r>
        <w:rPr>
          <w:rFonts w:hint="eastAsia" w:ascii="仿宋" w:hAnsi="仿宋" w:eastAsia="仿宋" w:cs="仿宋"/>
          <w:color w:val="auto"/>
          <w:sz w:val="28"/>
          <w:szCs w:val="28"/>
          <w:highlight w:val="none"/>
          <w:lang w:val="zh-CN"/>
        </w:rPr>
        <w:t>活动，由此产生的法律后果均由我单位承担。</w:t>
      </w:r>
    </w:p>
    <w:p w14:paraId="6E7FB6CF">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本授权书于授权人签字后生效，有效期至</w:t>
      </w:r>
      <w:r>
        <w:rPr>
          <w:rFonts w:hint="eastAsia" w:ascii="仿宋" w:hAnsi="仿宋" w:eastAsia="仿宋" w:cs="仿宋"/>
          <w:color w:val="auto"/>
          <w:sz w:val="28"/>
          <w:szCs w:val="28"/>
          <w:highlight w:val="none"/>
          <w:u w:val="single"/>
          <w:lang w:val="zh-CN"/>
        </w:rPr>
        <w:t xml:space="preserve">      </w:t>
      </w:r>
      <w:r>
        <w:rPr>
          <w:rFonts w:hint="eastAsia" w:ascii="仿宋" w:hAnsi="仿宋" w:eastAsia="仿宋" w:cs="仿宋"/>
          <w:color w:val="auto"/>
          <w:sz w:val="28"/>
          <w:szCs w:val="28"/>
          <w:highlight w:val="none"/>
          <w:lang w:val="zh-CN"/>
        </w:rPr>
        <w:t>年</w:t>
      </w:r>
      <w:r>
        <w:rPr>
          <w:rFonts w:hint="eastAsia" w:ascii="仿宋" w:hAnsi="仿宋" w:eastAsia="仿宋" w:cs="仿宋"/>
          <w:color w:val="auto"/>
          <w:sz w:val="28"/>
          <w:szCs w:val="28"/>
          <w:highlight w:val="none"/>
          <w:u w:val="single"/>
          <w:lang w:val="zh-CN"/>
        </w:rPr>
        <w:t xml:space="preserve">      </w:t>
      </w:r>
      <w:r>
        <w:rPr>
          <w:rFonts w:hint="eastAsia" w:ascii="仿宋" w:hAnsi="仿宋" w:eastAsia="仿宋" w:cs="仿宋"/>
          <w:color w:val="auto"/>
          <w:sz w:val="28"/>
          <w:szCs w:val="28"/>
          <w:highlight w:val="none"/>
          <w:lang w:val="zh-CN"/>
        </w:rPr>
        <w:t>月</w:t>
      </w:r>
      <w:r>
        <w:rPr>
          <w:rFonts w:hint="eastAsia" w:ascii="仿宋" w:hAnsi="仿宋" w:eastAsia="仿宋" w:cs="仿宋"/>
          <w:color w:val="auto"/>
          <w:sz w:val="28"/>
          <w:szCs w:val="28"/>
          <w:highlight w:val="none"/>
          <w:u w:val="single"/>
          <w:lang w:val="zh-CN"/>
        </w:rPr>
        <w:t xml:space="preserve">     </w:t>
      </w:r>
      <w:r>
        <w:rPr>
          <w:rFonts w:hint="eastAsia" w:ascii="仿宋" w:hAnsi="仿宋" w:eastAsia="仿宋" w:cs="仿宋"/>
          <w:color w:val="auto"/>
          <w:sz w:val="28"/>
          <w:szCs w:val="28"/>
          <w:highlight w:val="none"/>
          <w:lang w:val="zh-CN"/>
        </w:rPr>
        <w:t>日，特此声明。</w:t>
      </w:r>
    </w:p>
    <w:p w14:paraId="4C234E66">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p>
    <w:p w14:paraId="4E0F5C2B">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333189C1">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59C2F72B">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169591CD">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694A279B">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46E4468E">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p>
    <w:p w14:paraId="798E1C23">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p>
    <w:p w14:paraId="5FA233DA">
      <w:pPr>
        <w:keepNext w:val="0"/>
        <w:keepLines w:val="0"/>
        <w:pageBreakBefore w:val="0"/>
        <w:overflowPunct/>
        <w:topLinePunct w:val="0"/>
        <w:bidi w:val="0"/>
        <w:spacing w:line="400" w:lineRule="exact"/>
        <w:ind w:firstLine="4200" w:firstLineChars="15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288EB3C4">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00D18DD7">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名称（公章）：</w:t>
      </w:r>
    </w:p>
    <w:p w14:paraId="2DCE2037">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78CAFA97">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2026年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  日</w:t>
      </w:r>
    </w:p>
    <w:p w14:paraId="56DD7360">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xml:space="preserve">        </w:t>
      </w:r>
    </w:p>
    <w:p w14:paraId="2FD9E1E2">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p>
    <w:p w14:paraId="548F302C">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xml:space="preserve"> </w:t>
      </w:r>
    </w:p>
    <w:p w14:paraId="67C8F71D">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附：被授权人基本资料</w:t>
      </w:r>
    </w:p>
    <w:p w14:paraId="4CBB8C71">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 xml:space="preserve">姓名：             </w:t>
      </w:r>
    </w:p>
    <w:p w14:paraId="48A3F9E5">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 xml:space="preserve">职务：                                            </w:t>
      </w:r>
    </w:p>
    <w:p w14:paraId="465C02D7">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身份证号码：                   （请提供身份证</w:t>
      </w:r>
      <w:r>
        <w:rPr>
          <w:rFonts w:hint="eastAsia" w:ascii="仿宋" w:hAnsi="仿宋" w:eastAsia="仿宋" w:cs="仿宋"/>
          <w:color w:val="auto"/>
          <w:sz w:val="28"/>
          <w:szCs w:val="28"/>
          <w:highlight w:val="none"/>
          <w:lang w:val="en-US" w:eastAsia="zh-CN"/>
        </w:rPr>
        <w:t>正反面</w:t>
      </w:r>
      <w:r>
        <w:rPr>
          <w:rFonts w:hint="eastAsia" w:ascii="仿宋" w:hAnsi="仿宋" w:eastAsia="仿宋" w:cs="仿宋"/>
          <w:color w:val="auto"/>
          <w:sz w:val="28"/>
          <w:szCs w:val="28"/>
          <w:highlight w:val="none"/>
          <w:lang w:val="zh-CN"/>
        </w:rPr>
        <w:t>复印件）</w:t>
      </w:r>
    </w:p>
    <w:p w14:paraId="2595830A">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 xml:space="preserve">办公电话：             </w:t>
      </w:r>
    </w:p>
    <w:p w14:paraId="11DACD72">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 xml:space="preserve">移动电话：                  </w:t>
      </w:r>
    </w:p>
    <w:p w14:paraId="30D09644">
      <w:pPr>
        <w:keepNext w:val="0"/>
        <w:keepLines w:val="0"/>
        <w:pageBreakBefore w:val="0"/>
        <w:overflowPunct/>
        <w:topLinePunct w:val="0"/>
        <w:bidi w:val="0"/>
        <w:spacing w:line="40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6</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zh-CN"/>
        </w:rPr>
        <w:t>电子邮件地址：</w:t>
      </w:r>
    </w:p>
    <w:p w14:paraId="42E27238">
      <w:pPr>
        <w:keepNext w:val="0"/>
        <w:keepLines w:val="0"/>
        <w:pageBreakBefore w:val="0"/>
        <w:numPr>
          <w:ilvl w:val="0"/>
          <w:numId w:val="0"/>
        </w:numPr>
        <w:overflowPunct/>
        <w:topLinePunct w:val="0"/>
        <w:bidi w:val="0"/>
        <w:spacing w:line="400" w:lineRule="exact"/>
        <w:jc w:val="left"/>
        <w:rPr>
          <w:rFonts w:hint="eastAsia" w:ascii="仿宋" w:hAnsi="仿宋" w:eastAsia="仿宋" w:cs="仿宋"/>
          <w:bCs/>
          <w:color w:val="auto"/>
          <w:sz w:val="28"/>
          <w:szCs w:val="28"/>
          <w:highlight w:val="none"/>
          <w:lang w:val="en-US" w:eastAsia="zh-CN"/>
        </w:rPr>
      </w:pPr>
    </w:p>
    <w:p w14:paraId="5BC43E64">
      <w:pPr>
        <w:keepNext w:val="0"/>
        <w:keepLines w:val="0"/>
        <w:pageBreakBefore w:val="0"/>
        <w:numPr>
          <w:ilvl w:val="0"/>
          <w:numId w:val="0"/>
        </w:numPr>
        <w:overflowPunct/>
        <w:topLinePunct w:val="0"/>
        <w:bidi w:val="0"/>
        <w:spacing w:line="400" w:lineRule="exact"/>
        <w:jc w:val="left"/>
        <w:rPr>
          <w:rFonts w:hint="eastAsia" w:ascii="仿宋" w:hAnsi="仿宋" w:eastAsia="仿宋" w:cs="仿宋"/>
          <w:bCs/>
          <w:color w:val="auto"/>
          <w:sz w:val="28"/>
          <w:szCs w:val="28"/>
          <w:highlight w:val="none"/>
          <w:lang w:val="en-US" w:eastAsia="zh-CN"/>
        </w:rPr>
      </w:pPr>
    </w:p>
    <w:p w14:paraId="6F457236">
      <w:pPr>
        <w:keepNext w:val="0"/>
        <w:keepLines w:val="0"/>
        <w:pageBreakBefore w:val="0"/>
        <w:numPr>
          <w:ilvl w:val="0"/>
          <w:numId w:val="0"/>
        </w:numPr>
        <w:overflowPunct/>
        <w:topLinePunct w:val="0"/>
        <w:bidi w:val="0"/>
        <w:spacing w:line="400" w:lineRule="exact"/>
        <w:jc w:val="left"/>
        <w:rPr>
          <w:rFonts w:hint="eastAsia" w:ascii="仿宋" w:hAnsi="仿宋" w:eastAsia="仿宋" w:cs="仿宋"/>
          <w:bCs/>
          <w:color w:val="auto"/>
          <w:sz w:val="28"/>
          <w:szCs w:val="28"/>
          <w:highlight w:val="none"/>
          <w:lang w:val="en-US" w:eastAsia="zh-CN"/>
        </w:rPr>
      </w:pPr>
    </w:p>
    <w:p w14:paraId="6BE2838D">
      <w:pPr>
        <w:keepNext w:val="0"/>
        <w:keepLines w:val="0"/>
        <w:pageBreakBefore w:val="0"/>
        <w:numPr>
          <w:ilvl w:val="0"/>
          <w:numId w:val="0"/>
        </w:numPr>
        <w:overflowPunct/>
        <w:topLinePunct w:val="0"/>
        <w:bidi w:val="0"/>
        <w:spacing w:line="400" w:lineRule="exact"/>
        <w:jc w:val="center"/>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三、报价表</w:t>
      </w:r>
    </w:p>
    <w:p w14:paraId="0836C06A">
      <w:pPr>
        <w:keepNext w:val="0"/>
        <w:keepLines w:val="0"/>
        <w:pageBreakBefore w:val="0"/>
        <w:overflowPunct/>
        <w:topLinePunct w:val="0"/>
        <w:bidi w:val="0"/>
        <w:spacing w:line="400" w:lineRule="exact"/>
        <w:rPr>
          <w:rFonts w:hint="eastAsia" w:ascii="仿宋" w:hAnsi="仿宋" w:eastAsia="仿宋" w:cs="仿宋"/>
          <w:b/>
          <w:bCs/>
          <w:color w:val="auto"/>
          <w:sz w:val="28"/>
          <w:szCs w:val="28"/>
          <w:highlight w:val="none"/>
        </w:rPr>
      </w:pPr>
    </w:p>
    <w:p w14:paraId="081E2477">
      <w:pPr>
        <w:keepNext w:val="0"/>
        <w:keepLines w:val="0"/>
        <w:pageBreakBefore w:val="0"/>
        <w:overflowPunct/>
        <w:topLinePunct w:val="0"/>
        <w:bidi w:val="0"/>
        <w:spacing w:line="400" w:lineRule="exact"/>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项目名称：</w:t>
      </w:r>
      <w:r>
        <w:rPr>
          <w:rFonts w:hint="eastAsia" w:ascii="仿宋" w:hAnsi="仿宋" w:eastAsia="仿宋" w:cs="仿宋"/>
          <w:color w:val="auto"/>
          <w:kern w:val="0"/>
          <w:sz w:val="28"/>
          <w:szCs w:val="28"/>
          <w:highlight w:val="none"/>
          <w:lang w:eastAsia="zh-CN"/>
        </w:rPr>
        <w:t>南京市溧水区中医院全院快递及医共体一体化物流服务</w:t>
      </w:r>
    </w:p>
    <w:tbl>
      <w:tblPr>
        <w:tblStyle w:val="17"/>
        <w:tblW w:w="51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2643"/>
        <w:gridCol w:w="1557"/>
        <w:gridCol w:w="4597"/>
      </w:tblGrid>
      <w:tr w14:paraId="73C2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422" w:type="pct"/>
            <w:vMerge w:val="restart"/>
            <w:noWrap w:val="0"/>
            <w:vAlign w:val="center"/>
          </w:tcPr>
          <w:p w14:paraId="47448A01">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1375" w:type="pct"/>
            <w:vMerge w:val="restart"/>
            <w:noWrap w:val="0"/>
            <w:vAlign w:val="center"/>
          </w:tcPr>
          <w:p w14:paraId="363ED55E">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南京范围内响应报价</w:t>
            </w:r>
          </w:p>
        </w:tc>
        <w:tc>
          <w:tcPr>
            <w:tcW w:w="810" w:type="pct"/>
            <w:noWrap w:val="0"/>
            <w:vAlign w:val="center"/>
          </w:tcPr>
          <w:p w14:paraId="7887796C">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首重：</w:t>
            </w:r>
          </w:p>
        </w:tc>
        <w:tc>
          <w:tcPr>
            <w:tcW w:w="2391" w:type="pct"/>
            <w:noWrap w:val="0"/>
            <w:vAlign w:val="center"/>
          </w:tcPr>
          <w:p w14:paraId="74BD1CF9">
            <w:pPr>
              <w:keepNext w:val="0"/>
              <w:keepLines w:val="0"/>
              <w:pageBreakBefore w:val="0"/>
              <w:widowControl w:val="0"/>
              <w:tabs>
                <w:tab w:val="left" w:pos="540"/>
              </w:tabs>
              <w:kinsoku/>
              <w:wordWrap/>
              <w:overflowPunct/>
              <w:topLinePunct w:val="0"/>
              <w:autoSpaceDE/>
              <w:autoSpaceDN/>
              <w:bidi w:val="0"/>
              <w:adjustRightInd/>
              <w:snapToGrid/>
              <w:spacing w:line="400" w:lineRule="exact"/>
              <w:ind w:left="480" w:hanging="560" w:hangingChars="200"/>
              <w:jc w:val="lef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 xml:space="preserve">                   元/KG</w:t>
            </w:r>
          </w:p>
        </w:tc>
      </w:tr>
      <w:tr w14:paraId="5ED9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422" w:type="pct"/>
            <w:vMerge w:val="continue"/>
            <w:noWrap w:val="0"/>
            <w:vAlign w:val="center"/>
          </w:tcPr>
          <w:p w14:paraId="1779BE62">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rPr>
            </w:pPr>
          </w:p>
        </w:tc>
        <w:tc>
          <w:tcPr>
            <w:tcW w:w="1375" w:type="pct"/>
            <w:vMerge w:val="continue"/>
            <w:noWrap w:val="0"/>
            <w:vAlign w:val="center"/>
          </w:tcPr>
          <w:p w14:paraId="046E54AC">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rPr>
            </w:pPr>
          </w:p>
        </w:tc>
        <w:tc>
          <w:tcPr>
            <w:tcW w:w="810" w:type="pct"/>
            <w:noWrap w:val="0"/>
            <w:vAlign w:val="center"/>
          </w:tcPr>
          <w:p w14:paraId="6AC4960A">
            <w:pPr>
              <w:keepNext w:val="0"/>
              <w:keepLines w:val="0"/>
              <w:pageBreakBefore w:val="0"/>
              <w:widowControl w:val="0"/>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续重：</w:t>
            </w:r>
          </w:p>
        </w:tc>
        <w:tc>
          <w:tcPr>
            <w:tcW w:w="2391" w:type="pct"/>
            <w:noWrap w:val="0"/>
            <w:vAlign w:val="center"/>
          </w:tcPr>
          <w:p w14:paraId="39CAE441">
            <w:pPr>
              <w:keepNext w:val="0"/>
              <w:keepLines w:val="0"/>
              <w:pageBreakBefore w:val="0"/>
              <w:widowControl w:val="0"/>
              <w:tabs>
                <w:tab w:val="left" w:pos="540"/>
              </w:tabs>
              <w:kinsoku/>
              <w:wordWrap/>
              <w:overflowPunct/>
              <w:topLinePunct w:val="0"/>
              <w:autoSpaceDE/>
              <w:autoSpaceDN/>
              <w:bidi w:val="0"/>
              <w:adjustRightInd/>
              <w:snapToGrid/>
              <w:spacing w:line="400" w:lineRule="exact"/>
              <w:ind w:left="480" w:hanging="560" w:hanging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rPr>
              <w:t xml:space="preserve">                   元/KG</w:t>
            </w:r>
          </w:p>
        </w:tc>
      </w:tr>
      <w:tr w14:paraId="6780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2" w:type="pct"/>
            <w:noWrap w:val="0"/>
            <w:vAlign w:val="center"/>
          </w:tcPr>
          <w:p w14:paraId="72352DB6">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w:t>
            </w:r>
          </w:p>
        </w:tc>
        <w:tc>
          <w:tcPr>
            <w:tcW w:w="1375" w:type="pct"/>
            <w:noWrap w:val="0"/>
            <w:vAlign w:val="center"/>
          </w:tcPr>
          <w:p w14:paraId="1725EFA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lang w:val="en-US" w:eastAsia="zh-CN"/>
              </w:rPr>
              <w:t>无人快递车使用费</w:t>
            </w:r>
          </w:p>
        </w:tc>
        <w:tc>
          <w:tcPr>
            <w:tcW w:w="3202" w:type="pct"/>
            <w:gridSpan w:val="2"/>
            <w:noWrap w:val="0"/>
            <w:vAlign w:val="center"/>
          </w:tcPr>
          <w:p w14:paraId="43AC2163">
            <w:pPr>
              <w:keepNext w:val="0"/>
              <w:keepLines w:val="0"/>
              <w:pageBreakBefore w:val="0"/>
              <w:kinsoku/>
              <w:wordWrap/>
              <w:overflowPunct/>
              <w:topLinePunct w:val="0"/>
              <w:autoSpaceDE/>
              <w:autoSpaceDN/>
              <w:bidi w:val="0"/>
              <w:adjustRightInd/>
              <w:snapToGrid/>
              <w:spacing w:line="400" w:lineRule="exact"/>
              <w:ind w:left="840" w:hanging="840" w:hangingChars="3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结合全部运营路线综合测算，统一折算为单价： 元/次/条路线。</w:t>
            </w:r>
          </w:p>
        </w:tc>
      </w:tr>
      <w:tr w14:paraId="598E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2" w:type="pct"/>
            <w:noWrap w:val="0"/>
            <w:vAlign w:val="center"/>
          </w:tcPr>
          <w:p w14:paraId="6757BF74">
            <w:pPr>
              <w:keepNext w:val="0"/>
              <w:keepLines w:val="0"/>
              <w:pageBreakBefore w:val="0"/>
              <w:widowControl w:val="0"/>
              <w:tabs>
                <w:tab w:val="left" w:pos="540"/>
              </w:tabs>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w:t>
            </w:r>
          </w:p>
        </w:tc>
        <w:tc>
          <w:tcPr>
            <w:tcW w:w="4577" w:type="pct"/>
            <w:gridSpan w:val="3"/>
            <w:noWrap w:val="0"/>
            <w:vAlign w:val="center"/>
          </w:tcPr>
          <w:p w14:paraId="673F03D0">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备注：</w:t>
            </w:r>
          </w:p>
          <w:p w14:paraId="012B2E9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（1）包装耗材收费标准按照供应商企业市场统一标准执行：纸箱、泡沫箱按标准收取耗材费用；打包袋、冰袋、缓冲材料由供应商免费提供，不另行计费。</w:t>
            </w:r>
          </w:p>
          <w:p w14:paraId="0601083F">
            <w:pPr>
              <w:keepNext w:val="0"/>
              <w:keepLines w:val="0"/>
              <w:pageBreakBefore w:val="0"/>
              <w:widowControl w:val="0"/>
              <w:numPr>
                <w:ilvl w:val="0"/>
                <w:numId w:val="0"/>
              </w:numPr>
              <w:tabs>
                <w:tab w:val="left" w:pos="540"/>
              </w:tabs>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sz w:val="28"/>
                <w:szCs w:val="28"/>
                <w:highlight w:val="none"/>
                <w:lang w:val="en-US" w:eastAsia="zh-CN"/>
              </w:rPr>
              <w:t>（2）南京市以外地区快件资费，按供应商企业统一公开标准执行。</w:t>
            </w:r>
          </w:p>
        </w:tc>
      </w:tr>
    </w:tbl>
    <w:p w14:paraId="698F4A33">
      <w:pPr>
        <w:keepNext w:val="0"/>
        <w:keepLines w:val="0"/>
        <w:pageBreakBefore w:val="0"/>
        <w:overflowPunct/>
        <w:topLinePunct w:val="0"/>
        <w:bidi w:val="0"/>
        <w:spacing w:line="400" w:lineRule="exact"/>
        <w:ind w:firstLine="560" w:firstLineChars="200"/>
        <w:rPr>
          <w:rFonts w:hint="eastAsia" w:ascii="仿宋" w:hAnsi="仿宋" w:eastAsia="仿宋" w:cs="仿宋"/>
          <w:bCs/>
          <w:color w:val="auto"/>
          <w:sz w:val="28"/>
          <w:szCs w:val="28"/>
          <w:highlight w:val="none"/>
          <w:lang w:val="en-US" w:eastAsia="zh-CN"/>
        </w:rPr>
      </w:pPr>
    </w:p>
    <w:p w14:paraId="23C5416A">
      <w:pPr>
        <w:keepNext w:val="0"/>
        <w:keepLines w:val="0"/>
        <w:pageBreakBefore w:val="0"/>
        <w:overflowPunct/>
        <w:topLinePunct w:val="0"/>
        <w:bidi w:val="0"/>
        <w:spacing w:line="400" w:lineRule="exact"/>
        <w:ind w:firstLine="3780" w:firstLineChars="1350"/>
        <w:rPr>
          <w:rFonts w:hint="eastAsia" w:ascii="仿宋" w:hAnsi="仿宋" w:eastAsia="仿宋" w:cs="仿宋"/>
          <w:bCs/>
          <w:color w:val="auto"/>
          <w:sz w:val="28"/>
          <w:szCs w:val="28"/>
          <w:highlight w:val="none"/>
          <w:lang w:val="en-US" w:eastAsia="zh-CN"/>
        </w:rPr>
      </w:pPr>
    </w:p>
    <w:p w14:paraId="792801B6">
      <w:pPr>
        <w:keepNext w:val="0"/>
        <w:keepLines w:val="0"/>
        <w:pageBreakBefore w:val="0"/>
        <w:overflowPunct/>
        <w:topLinePunct w:val="0"/>
        <w:bidi w:val="0"/>
        <w:spacing w:line="400" w:lineRule="exact"/>
        <w:ind w:firstLine="3780" w:firstLineChars="1350"/>
        <w:rPr>
          <w:rFonts w:hint="eastAsia" w:ascii="仿宋" w:hAnsi="仿宋" w:eastAsia="仿宋" w:cs="仿宋"/>
          <w:color w:val="auto"/>
          <w:sz w:val="28"/>
          <w:szCs w:val="28"/>
          <w:highlight w:val="none"/>
          <w:lang w:val="zh-CN"/>
        </w:rPr>
      </w:pPr>
    </w:p>
    <w:p w14:paraId="20163918">
      <w:pPr>
        <w:keepNext w:val="0"/>
        <w:keepLines w:val="0"/>
        <w:pageBreakBefore w:val="0"/>
        <w:overflowPunct/>
        <w:topLinePunct w:val="0"/>
        <w:bidi w:val="0"/>
        <w:spacing w:line="400" w:lineRule="exact"/>
        <w:ind w:firstLine="3780" w:firstLineChars="1350"/>
        <w:rPr>
          <w:rFonts w:hint="eastAsia" w:ascii="仿宋" w:hAnsi="仿宋" w:eastAsia="仿宋" w:cs="仿宋"/>
          <w:color w:val="auto"/>
          <w:sz w:val="28"/>
          <w:szCs w:val="28"/>
          <w:highlight w:val="none"/>
          <w:lang w:val="zh-CN"/>
        </w:rPr>
      </w:pPr>
    </w:p>
    <w:p w14:paraId="278B4C98">
      <w:pPr>
        <w:keepNext w:val="0"/>
        <w:keepLines w:val="0"/>
        <w:pageBreakBefore w:val="0"/>
        <w:overflowPunct/>
        <w:topLinePunct w:val="0"/>
        <w:bidi w:val="0"/>
        <w:spacing w:line="400" w:lineRule="exact"/>
        <w:ind w:firstLine="3780" w:firstLineChars="1350"/>
        <w:rPr>
          <w:rFonts w:hint="eastAsia" w:ascii="仿宋" w:hAnsi="仿宋" w:eastAsia="仿宋" w:cs="仿宋"/>
          <w:color w:val="auto"/>
          <w:sz w:val="28"/>
          <w:szCs w:val="28"/>
          <w:highlight w:val="none"/>
          <w:lang w:val="zh-CN"/>
        </w:rPr>
      </w:pPr>
    </w:p>
    <w:p w14:paraId="662D2A9D">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515BB07F">
      <w:pPr>
        <w:keepNext w:val="0"/>
        <w:keepLines w:val="0"/>
        <w:pageBreakBefore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名称（公章）：</w:t>
      </w:r>
    </w:p>
    <w:p w14:paraId="384582B2">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p>
    <w:p w14:paraId="5EA8D37A">
      <w:pPr>
        <w:keepNext w:val="0"/>
        <w:keepLines w:val="0"/>
        <w:pageBreakBefore w:val="0"/>
        <w:wordWrap w:val="0"/>
        <w:overflowPunct/>
        <w:topLinePunct w:val="0"/>
        <w:bidi w:val="0"/>
        <w:spacing w:line="400" w:lineRule="exact"/>
        <w:ind w:firstLine="560" w:firstLineChars="200"/>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2026年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  日</w:t>
      </w:r>
    </w:p>
    <w:p w14:paraId="67662B02">
      <w:pPr>
        <w:keepNext w:val="0"/>
        <w:keepLines w:val="0"/>
        <w:pageBreakBefore w:val="0"/>
        <w:overflowPunct/>
        <w:topLinePunct w:val="0"/>
        <w:bidi w:val="0"/>
        <w:spacing w:line="400" w:lineRule="exact"/>
        <w:rPr>
          <w:rFonts w:hint="eastAsia" w:ascii="仿宋" w:hAnsi="仿宋" w:eastAsia="仿宋" w:cs="仿宋"/>
          <w:color w:val="auto"/>
          <w:sz w:val="28"/>
          <w:szCs w:val="28"/>
          <w:highlight w:val="none"/>
        </w:rPr>
      </w:pPr>
    </w:p>
    <w:p w14:paraId="2BE2645A">
      <w:pPr>
        <w:keepNext w:val="0"/>
        <w:keepLines w:val="0"/>
        <w:pageBreakBefore w:val="0"/>
        <w:overflowPunct/>
        <w:topLinePunct w:val="0"/>
        <w:bidi w:val="0"/>
        <w:spacing w:line="400" w:lineRule="exact"/>
        <w:rPr>
          <w:rFonts w:hint="eastAsia" w:ascii="仿宋" w:hAnsi="仿宋" w:eastAsia="仿宋" w:cs="仿宋"/>
          <w:color w:val="auto"/>
          <w:sz w:val="28"/>
          <w:szCs w:val="28"/>
          <w:highlight w:val="none"/>
        </w:rPr>
      </w:pPr>
    </w:p>
    <w:p w14:paraId="5B2DC7E6">
      <w:pPr>
        <w:keepNext w:val="0"/>
        <w:keepLines w:val="0"/>
        <w:pageBreakBefore w:val="0"/>
        <w:overflowPunct/>
        <w:topLinePunct w:val="0"/>
        <w:bidi w:val="0"/>
        <w:spacing w:line="400" w:lineRule="exact"/>
        <w:jc w:val="center"/>
        <w:rPr>
          <w:rFonts w:hint="eastAsia" w:ascii="仿宋" w:hAnsi="仿宋" w:eastAsia="仿宋" w:cs="仿宋"/>
          <w:bCs/>
          <w:color w:val="auto"/>
          <w:sz w:val="28"/>
          <w:szCs w:val="28"/>
          <w:highlight w:val="none"/>
          <w:lang w:val="en-US" w:eastAsia="zh-CN"/>
        </w:rPr>
      </w:pPr>
    </w:p>
    <w:p w14:paraId="13272EF5">
      <w:pPr>
        <w:keepNext w:val="0"/>
        <w:keepLines w:val="0"/>
        <w:pageBreakBefore w:val="0"/>
        <w:overflowPunct/>
        <w:topLinePunct w:val="0"/>
        <w:bidi w:val="0"/>
        <w:spacing w:line="400" w:lineRule="exact"/>
        <w:jc w:val="center"/>
        <w:rPr>
          <w:rFonts w:hint="eastAsia" w:ascii="仿宋" w:hAnsi="仿宋" w:eastAsia="仿宋" w:cs="仿宋"/>
          <w:bCs/>
          <w:color w:val="auto"/>
          <w:sz w:val="28"/>
          <w:szCs w:val="28"/>
          <w:highlight w:val="none"/>
          <w:lang w:val="en-US" w:eastAsia="zh-CN"/>
        </w:rPr>
      </w:pPr>
    </w:p>
    <w:p w14:paraId="3252E2E1">
      <w:pPr>
        <w:keepNext w:val="0"/>
        <w:keepLines w:val="0"/>
        <w:pageBreakBefore w:val="0"/>
        <w:overflowPunct/>
        <w:topLinePunct w:val="0"/>
        <w:bidi w:val="0"/>
        <w:spacing w:line="400" w:lineRule="exact"/>
        <w:jc w:val="center"/>
        <w:rPr>
          <w:rFonts w:hint="eastAsia" w:ascii="仿宋" w:hAnsi="仿宋" w:eastAsia="仿宋" w:cs="仿宋"/>
          <w:bCs/>
          <w:color w:val="auto"/>
          <w:sz w:val="28"/>
          <w:szCs w:val="28"/>
          <w:highlight w:val="none"/>
          <w:lang w:val="en-US" w:eastAsia="zh-CN"/>
        </w:rPr>
      </w:pPr>
    </w:p>
    <w:p w14:paraId="1646517F">
      <w:pPr>
        <w:keepNext w:val="0"/>
        <w:keepLines w:val="0"/>
        <w:pageBreakBefore w:val="0"/>
        <w:overflowPunct/>
        <w:topLinePunct w:val="0"/>
        <w:bidi w:val="0"/>
        <w:spacing w:line="400" w:lineRule="exact"/>
        <w:jc w:val="center"/>
        <w:rPr>
          <w:rFonts w:hint="eastAsia" w:ascii="仿宋" w:hAnsi="仿宋" w:eastAsia="仿宋" w:cs="仿宋"/>
          <w:bCs/>
          <w:color w:val="auto"/>
          <w:sz w:val="28"/>
          <w:szCs w:val="28"/>
          <w:highlight w:val="none"/>
          <w:lang w:val="en-US" w:eastAsia="zh-CN"/>
        </w:rPr>
      </w:pPr>
    </w:p>
    <w:p w14:paraId="5C6A5F0D">
      <w:pPr>
        <w:keepNext w:val="0"/>
        <w:keepLines w:val="0"/>
        <w:pageBreakBefore w:val="0"/>
        <w:overflowPunct/>
        <w:topLinePunct w:val="0"/>
        <w:bidi w:val="0"/>
        <w:spacing w:line="400" w:lineRule="exact"/>
        <w:jc w:val="center"/>
        <w:rPr>
          <w:rFonts w:hint="eastAsia" w:ascii="仿宋" w:hAnsi="仿宋" w:eastAsia="仿宋" w:cs="仿宋"/>
          <w:bCs/>
          <w:color w:val="auto"/>
          <w:sz w:val="28"/>
          <w:szCs w:val="28"/>
          <w:highlight w:val="none"/>
          <w:lang w:val="en-US" w:eastAsia="zh-CN"/>
        </w:rPr>
      </w:pPr>
    </w:p>
    <w:p w14:paraId="3BBEB7ED">
      <w:pPr>
        <w:pageBreakBefore w:val="0"/>
        <w:widowControl/>
        <w:kinsoku/>
        <w:wordWrap/>
        <w:overflowPunct/>
        <w:topLinePunct w:val="0"/>
        <w:autoSpaceDE/>
        <w:autoSpaceDN/>
        <w:bidi w:val="0"/>
        <w:adjustRightInd w:val="0"/>
        <w:snapToGrid/>
        <w:spacing w:line="380" w:lineRule="exact"/>
        <w:jc w:val="left"/>
        <w:textAlignment w:val="auto"/>
        <w:rPr>
          <w:rFonts w:hint="eastAsia" w:ascii="仿宋" w:hAnsi="仿宋" w:eastAsia="仿宋" w:cs="仿宋"/>
          <w:color w:val="auto"/>
          <w:kern w:val="0"/>
          <w:sz w:val="28"/>
          <w:szCs w:val="28"/>
          <w:highlight w:val="none"/>
          <w:lang w:val="zh-CN"/>
        </w:rPr>
      </w:pPr>
    </w:p>
    <w:p w14:paraId="54B492C0">
      <w:pPr>
        <w:pStyle w:val="2"/>
        <w:rPr>
          <w:rFonts w:hint="eastAsia" w:ascii="仿宋" w:hAnsi="仿宋" w:eastAsia="仿宋" w:cs="仿宋"/>
          <w:color w:val="auto"/>
          <w:kern w:val="0"/>
          <w:sz w:val="28"/>
          <w:szCs w:val="28"/>
          <w:highlight w:val="none"/>
          <w:lang w:val="zh-CN"/>
        </w:rPr>
      </w:pPr>
    </w:p>
    <w:p w14:paraId="594B9622">
      <w:pPr>
        <w:pStyle w:val="3"/>
        <w:rPr>
          <w:rFonts w:hint="eastAsia" w:ascii="仿宋" w:hAnsi="仿宋" w:eastAsia="仿宋" w:cs="仿宋"/>
          <w:color w:val="auto"/>
          <w:kern w:val="0"/>
          <w:sz w:val="28"/>
          <w:szCs w:val="28"/>
          <w:highlight w:val="none"/>
          <w:lang w:val="zh-CN"/>
        </w:rPr>
      </w:pPr>
    </w:p>
    <w:sectPr>
      <w:footerReference r:id="rId6" w:type="default"/>
      <w:footerReference r:id="rId7" w:type="even"/>
      <w:pgSz w:w="11906" w:h="16838"/>
      <w:pgMar w:top="1417" w:right="1417" w:bottom="1417" w:left="1417"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方正小标宋_GBK">
    <w:altName w:val="微软雅黑"/>
    <w:panose1 w:val="02000000000000000000"/>
    <w:charset w:val="86"/>
    <w:family w:val="script"/>
    <w:pitch w:val="default"/>
    <w:sig w:usb0="00000000" w:usb1="00000000" w:usb2="00082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E50EB">
    <w:pPr>
      <w:spacing w:line="173" w:lineRule="auto"/>
      <w:ind w:left="389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w:t>
    </w:r>
    <w:r>
      <w:rPr>
        <w:rFonts w:ascii="Times New Roman" w:hAnsi="Times New Roman" w:eastAsia="Times New Roman" w:cs="Times New Roman"/>
        <w:spacing w:val="10"/>
        <w:sz w:val="18"/>
        <w:szCs w:val="18"/>
      </w:rPr>
      <w:t xml:space="preserve"> </w:t>
    </w:r>
    <w:r>
      <w:rPr>
        <w:rFonts w:ascii="Times New Roman" w:hAnsi="Times New Roman" w:eastAsia="Times New Roman" w:cs="Times New Roman"/>
        <w:spacing w:val="-2"/>
        <w:sz w:val="18"/>
        <w:szCs w:val="18"/>
      </w:rPr>
      <w:t>5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81794">
    <w:pPr>
      <w:spacing w:line="176" w:lineRule="auto"/>
      <w:ind w:left="486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1"/>
        <w:sz w:val="18"/>
        <w:szCs w:val="18"/>
      </w:rPr>
      <w:t>6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4CD05">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29C644BD">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C7E4D">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6</w:t>
    </w:r>
    <w:r>
      <w:fldChar w:fldCharType="end"/>
    </w:r>
  </w:p>
  <w:p w14:paraId="3F0EEF8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5C9E8">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mYjJmYjdmNmFhMjEzNzY5MmFmZjc4MWZjYzUxYzIifQ=="/>
  </w:docVars>
  <w:rsids>
    <w:rsidRoot w:val="00172A27"/>
    <w:rsid w:val="00012627"/>
    <w:rsid w:val="000140AF"/>
    <w:rsid w:val="00043144"/>
    <w:rsid w:val="0004583F"/>
    <w:rsid w:val="00053E26"/>
    <w:rsid w:val="000A04C1"/>
    <w:rsid w:val="000A6154"/>
    <w:rsid w:val="000A6AB4"/>
    <w:rsid w:val="00102A0C"/>
    <w:rsid w:val="001567C9"/>
    <w:rsid w:val="00156D9A"/>
    <w:rsid w:val="00172A27"/>
    <w:rsid w:val="001930C1"/>
    <w:rsid w:val="00197736"/>
    <w:rsid w:val="001B0A31"/>
    <w:rsid w:val="001E735D"/>
    <w:rsid w:val="00291F74"/>
    <w:rsid w:val="002B5A02"/>
    <w:rsid w:val="002D0140"/>
    <w:rsid w:val="00337586"/>
    <w:rsid w:val="00360E24"/>
    <w:rsid w:val="00372573"/>
    <w:rsid w:val="0038784C"/>
    <w:rsid w:val="00396DBA"/>
    <w:rsid w:val="003A714F"/>
    <w:rsid w:val="003F4445"/>
    <w:rsid w:val="004279D1"/>
    <w:rsid w:val="0044684E"/>
    <w:rsid w:val="00453304"/>
    <w:rsid w:val="00465E17"/>
    <w:rsid w:val="00472402"/>
    <w:rsid w:val="004773FD"/>
    <w:rsid w:val="00493535"/>
    <w:rsid w:val="005011BE"/>
    <w:rsid w:val="00505314"/>
    <w:rsid w:val="00530A60"/>
    <w:rsid w:val="005A166D"/>
    <w:rsid w:val="005A6A12"/>
    <w:rsid w:val="005B7B92"/>
    <w:rsid w:val="006452F7"/>
    <w:rsid w:val="00647DA2"/>
    <w:rsid w:val="00682202"/>
    <w:rsid w:val="006D0CE9"/>
    <w:rsid w:val="006E4027"/>
    <w:rsid w:val="006E4A62"/>
    <w:rsid w:val="007131E4"/>
    <w:rsid w:val="007218FA"/>
    <w:rsid w:val="007C1AED"/>
    <w:rsid w:val="007C2CDB"/>
    <w:rsid w:val="007C40C3"/>
    <w:rsid w:val="00853D63"/>
    <w:rsid w:val="00866B54"/>
    <w:rsid w:val="00885B23"/>
    <w:rsid w:val="008B596D"/>
    <w:rsid w:val="008D336C"/>
    <w:rsid w:val="00926393"/>
    <w:rsid w:val="00934C57"/>
    <w:rsid w:val="009907F0"/>
    <w:rsid w:val="009A02A2"/>
    <w:rsid w:val="009B4211"/>
    <w:rsid w:val="009C466E"/>
    <w:rsid w:val="00A02154"/>
    <w:rsid w:val="00A14F51"/>
    <w:rsid w:val="00A24532"/>
    <w:rsid w:val="00A93131"/>
    <w:rsid w:val="00AB70CA"/>
    <w:rsid w:val="00B26B4C"/>
    <w:rsid w:val="00B3655C"/>
    <w:rsid w:val="00B45399"/>
    <w:rsid w:val="00C036F2"/>
    <w:rsid w:val="00C24B05"/>
    <w:rsid w:val="00C47AD5"/>
    <w:rsid w:val="00C63374"/>
    <w:rsid w:val="00CB5429"/>
    <w:rsid w:val="00CF2631"/>
    <w:rsid w:val="00D25804"/>
    <w:rsid w:val="00D3749C"/>
    <w:rsid w:val="00D50D75"/>
    <w:rsid w:val="00D72607"/>
    <w:rsid w:val="00D7493F"/>
    <w:rsid w:val="00DB1509"/>
    <w:rsid w:val="00DD20FB"/>
    <w:rsid w:val="00DE03AF"/>
    <w:rsid w:val="00E01803"/>
    <w:rsid w:val="00E022E5"/>
    <w:rsid w:val="00E06234"/>
    <w:rsid w:val="00E06C90"/>
    <w:rsid w:val="00EC4540"/>
    <w:rsid w:val="00ED3BD8"/>
    <w:rsid w:val="00F036C9"/>
    <w:rsid w:val="00F178AA"/>
    <w:rsid w:val="00F25766"/>
    <w:rsid w:val="00F337E1"/>
    <w:rsid w:val="00F51298"/>
    <w:rsid w:val="00F602C7"/>
    <w:rsid w:val="00F7399C"/>
    <w:rsid w:val="00FC09D4"/>
    <w:rsid w:val="00FE3911"/>
    <w:rsid w:val="00FE5BC2"/>
    <w:rsid w:val="00FF2023"/>
    <w:rsid w:val="010F6F10"/>
    <w:rsid w:val="011C626C"/>
    <w:rsid w:val="015B7657"/>
    <w:rsid w:val="017D4DCC"/>
    <w:rsid w:val="017E2A82"/>
    <w:rsid w:val="01C506B1"/>
    <w:rsid w:val="01D027EB"/>
    <w:rsid w:val="02077BC2"/>
    <w:rsid w:val="020E02AA"/>
    <w:rsid w:val="02155544"/>
    <w:rsid w:val="022E14F4"/>
    <w:rsid w:val="02306473"/>
    <w:rsid w:val="02372B2A"/>
    <w:rsid w:val="024141DC"/>
    <w:rsid w:val="025657AD"/>
    <w:rsid w:val="027C6539"/>
    <w:rsid w:val="02B96468"/>
    <w:rsid w:val="02C95F7F"/>
    <w:rsid w:val="02E87374"/>
    <w:rsid w:val="032A50C3"/>
    <w:rsid w:val="032B09E8"/>
    <w:rsid w:val="034339E7"/>
    <w:rsid w:val="03555A65"/>
    <w:rsid w:val="03561F09"/>
    <w:rsid w:val="035A25B5"/>
    <w:rsid w:val="03655CA8"/>
    <w:rsid w:val="03A219EA"/>
    <w:rsid w:val="03AE0B18"/>
    <w:rsid w:val="03E23755"/>
    <w:rsid w:val="03EC63FF"/>
    <w:rsid w:val="03FE1390"/>
    <w:rsid w:val="04296264"/>
    <w:rsid w:val="042E7BAC"/>
    <w:rsid w:val="044C6E68"/>
    <w:rsid w:val="04785EAF"/>
    <w:rsid w:val="04874344"/>
    <w:rsid w:val="048D195A"/>
    <w:rsid w:val="049327EB"/>
    <w:rsid w:val="04A87D62"/>
    <w:rsid w:val="04B70785"/>
    <w:rsid w:val="04EC5695"/>
    <w:rsid w:val="05111718"/>
    <w:rsid w:val="055B3806"/>
    <w:rsid w:val="05E27A84"/>
    <w:rsid w:val="05EC0902"/>
    <w:rsid w:val="05F81055"/>
    <w:rsid w:val="06317BB8"/>
    <w:rsid w:val="0646517E"/>
    <w:rsid w:val="0684274D"/>
    <w:rsid w:val="068C5BB2"/>
    <w:rsid w:val="07174CAC"/>
    <w:rsid w:val="071C6FC5"/>
    <w:rsid w:val="07391AF7"/>
    <w:rsid w:val="07506C6F"/>
    <w:rsid w:val="07653280"/>
    <w:rsid w:val="077E744B"/>
    <w:rsid w:val="07C531CC"/>
    <w:rsid w:val="07C82CA9"/>
    <w:rsid w:val="07D85320"/>
    <w:rsid w:val="082A5712"/>
    <w:rsid w:val="084A1910"/>
    <w:rsid w:val="084A6CBA"/>
    <w:rsid w:val="084F532E"/>
    <w:rsid w:val="086724C2"/>
    <w:rsid w:val="088A4403"/>
    <w:rsid w:val="08B576D2"/>
    <w:rsid w:val="08B96F5C"/>
    <w:rsid w:val="08C77405"/>
    <w:rsid w:val="08CC4A1B"/>
    <w:rsid w:val="08F822C4"/>
    <w:rsid w:val="095567BF"/>
    <w:rsid w:val="095962AF"/>
    <w:rsid w:val="097C3D4B"/>
    <w:rsid w:val="09AA4D5C"/>
    <w:rsid w:val="09C53944"/>
    <w:rsid w:val="09CD27F9"/>
    <w:rsid w:val="09EA5159"/>
    <w:rsid w:val="09EB2B51"/>
    <w:rsid w:val="09F4422A"/>
    <w:rsid w:val="0A36039E"/>
    <w:rsid w:val="0A426D43"/>
    <w:rsid w:val="0A567C82"/>
    <w:rsid w:val="0A9A6B7F"/>
    <w:rsid w:val="0AAB4247"/>
    <w:rsid w:val="0ABE628E"/>
    <w:rsid w:val="0AD00B10"/>
    <w:rsid w:val="0AEE277F"/>
    <w:rsid w:val="0B09418A"/>
    <w:rsid w:val="0B1701D0"/>
    <w:rsid w:val="0B261024"/>
    <w:rsid w:val="0B2621C1"/>
    <w:rsid w:val="0B304DED"/>
    <w:rsid w:val="0B492353"/>
    <w:rsid w:val="0B6D4294"/>
    <w:rsid w:val="0B82242C"/>
    <w:rsid w:val="0B853EAD"/>
    <w:rsid w:val="0B881888"/>
    <w:rsid w:val="0BBF2615"/>
    <w:rsid w:val="0BCA3CD2"/>
    <w:rsid w:val="0BD95485"/>
    <w:rsid w:val="0BFA2A22"/>
    <w:rsid w:val="0C0E4B7B"/>
    <w:rsid w:val="0C3504B5"/>
    <w:rsid w:val="0C766F26"/>
    <w:rsid w:val="0C9D2956"/>
    <w:rsid w:val="0CA02447"/>
    <w:rsid w:val="0CD12600"/>
    <w:rsid w:val="0CF16A5C"/>
    <w:rsid w:val="0D041E6A"/>
    <w:rsid w:val="0D1C7510"/>
    <w:rsid w:val="0D1F2693"/>
    <w:rsid w:val="0D2512B6"/>
    <w:rsid w:val="0D73130E"/>
    <w:rsid w:val="0D7731A8"/>
    <w:rsid w:val="0D906017"/>
    <w:rsid w:val="0DAE46EF"/>
    <w:rsid w:val="0DC67C8B"/>
    <w:rsid w:val="0E1A1D85"/>
    <w:rsid w:val="0E2D7D0A"/>
    <w:rsid w:val="0E3842B2"/>
    <w:rsid w:val="0E3E08ED"/>
    <w:rsid w:val="0E4806A0"/>
    <w:rsid w:val="0E4C5684"/>
    <w:rsid w:val="0E574CE7"/>
    <w:rsid w:val="0E9B1118"/>
    <w:rsid w:val="0EEC49DB"/>
    <w:rsid w:val="0EEF3211"/>
    <w:rsid w:val="0F0C0955"/>
    <w:rsid w:val="0F2E5AE8"/>
    <w:rsid w:val="0F2F1860"/>
    <w:rsid w:val="0F5B2655"/>
    <w:rsid w:val="0F5B4403"/>
    <w:rsid w:val="0F6239E3"/>
    <w:rsid w:val="0F7345A2"/>
    <w:rsid w:val="0F8D434C"/>
    <w:rsid w:val="0FA80F53"/>
    <w:rsid w:val="0FC401FA"/>
    <w:rsid w:val="10002FFE"/>
    <w:rsid w:val="101E5B5C"/>
    <w:rsid w:val="10246EEB"/>
    <w:rsid w:val="10A122E9"/>
    <w:rsid w:val="10A976E1"/>
    <w:rsid w:val="10B54482"/>
    <w:rsid w:val="10D0497D"/>
    <w:rsid w:val="10DB3A4D"/>
    <w:rsid w:val="10EF74F9"/>
    <w:rsid w:val="10F85462"/>
    <w:rsid w:val="10FA61E7"/>
    <w:rsid w:val="10FE598E"/>
    <w:rsid w:val="110F36F7"/>
    <w:rsid w:val="111807FE"/>
    <w:rsid w:val="112371A2"/>
    <w:rsid w:val="11350259"/>
    <w:rsid w:val="115A7068"/>
    <w:rsid w:val="116A6A33"/>
    <w:rsid w:val="118934A9"/>
    <w:rsid w:val="118C2F9A"/>
    <w:rsid w:val="11DF608A"/>
    <w:rsid w:val="121D4DAA"/>
    <w:rsid w:val="12282CC2"/>
    <w:rsid w:val="12681311"/>
    <w:rsid w:val="12A14823"/>
    <w:rsid w:val="12B5207C"/>
    <w:rsid w:val="12BE7183"/>
    <w:rsid w:val="12C62DD3"/>
    <w:rsid w:val="130D1EB8"/>
    <w:rsid w:val="13386F35"/>
    <w:rsid w:val="133D09EF"/>
    <w:rsid w:val="133E79C9"/>
    <w:rsid w:val="134753CA"/>
    <w:rsid w:val="134A16EB"/>
    <w:rsid w:val="13612F1C"/>
    <w:rsid w:val="13622204"/>
    <w:rsid w:val="13AE369B"/>
    <w:rsid w:val="13DC233E"/>
    <w:rsid w:val="13EA7908"/>
    <w:rsid w:val="141B0BDF"/>
    <w:rsid w:val="14213E6D"/>
    <w:rsid w:val="14230B6E"/>
    <w:rsid w:val="14687188"/>
    <w:rsid w:val="14710F49"/>
    <w:rsid w:val="14827D32"/>
    <w:rsid w:val="14B7032D"/>
    <w:rsid w:val="14D30BDE"/>
    <w:rsid w:val="14E37374"/>
    <w:rsid w:val="14EF5D19"/>
    <w:rsid w:val="15175270"/>
    <w:rsid w:val="152754B3"/>
    <w:rsid w:val="15451DDD"/>
    <w:rsid w:val="155B4089"/>
    <w:rsid w:val="15B17473"/>
    <w:rsid w:val="15B46B73"/>
    <w:rsid w:val="15BD24E9"/>
    <w:rsid w:val="15C732DB"/>
    <w:rsid w:val="15D43E5C"/>
    <w:rsid w:val="15E056F0"/>
    <w:rsid w:val="15E45152"/>
    <w:rsid w:val="15F97D4A"/>
    <w:rsid w:val="160159DE"/>
    <w:rsid w:val="16491459"/>
    <w:rsid w:val="164B16C1"/>
    <w:rsid w:val="166F6F59"/>
    <w:rsid w:val="167F30CD"/>
    <w:rsid w:val="168A1EC1"/>
    <w:rsid w:val="16B70AB9"/>
    <w:rsid w:val="16CA259A"/>
    <w:rsid w:val="16E85F22"/>
    <w:rsid w:val="170A508C"/>
    <w:rsid w:val="171112E5"/>
    <w:rsid w:val="17326391"/>
    <w:rsid w:val="173C2D6C"/>
    <w:rsid w:val="176302F9"/>
    <w:rsid w:val="1763479D"/>
    <w:rsid w:val="17872239"/>
    <w:rsid w:val="178F78E5"/>
    <w:rsid w:val="179130B8"/>
    <w:rsid w:val="17E51656"/>
    <w:rsid w:val="182818DB"/>
    <w:rsid w:val="182C4B8E"/>
    <w:rsid w:val="18910E95"/>
    <w:rsid w:val="18C179CD"/>
    <w:rsid w:val="18DA1F55"/>
    <w:rsid w:val="18E3221B"/>
    <w:rsid w:val="190A3122"/>
    <w:rsid w:val="195B397D"/>
    <w:rsid w:val="195E1971"/>
    <w:rsid w:val="19670574"/>
    <w:rsid w:val="197B401F"/>
    <w:rsid w:val="199B021E"/>
    <w:rsid w:val="19A838A8"/>
    <w:rsid w:val="19B117EF"/>
    <w:rsid w:val="19B779A8"/>
    <w:rsid w:val="19BA78F9"/>
    <w:rsid w:val="19C86B39"/>
    <w:rsid w:val="19E26B6F"/>
    <w:rsid w:val="1A4E703E"/>
    <w:rsid w:val="1A82318C"/>
    <w:rsid w:val="1AA76FFE"/>
    <w:rsid w:val="1AB1581F"/>
    <w:rsid w:val="1AB86BAD"/>
    <w:rsid w:val="1ACD08AB"/>
    <w:rsid w:val="1AEC2672"/>
    <w:rsid w:val="1AFA46C7"/>
    <w:rsid w:val="1B18764C"/>
    <w:rsid w:val="1B1C713C"/>
    <w:rsid w:val="1B617245"/>
    <w:rsid w:val="1BBF6495"/>
    <w:rsid w:val="1BD45C69"/>
    <w:rsid w:val="1BE20386"/>
    <w:rsid w:val="1C0D4CD7"/>
    <w:rsid w:val="1C112A19"/>
    <w:rsid w:val="1C1C260C"/>
    <w:rsid w:val="1C427076"/>
    <w:rsid w:val="1C57790E"/>
    <w:rsid w:val="1C6A7C7F"/>
    <w:rsid w:val="1CB5632E"/>
    <w:rsid w:val="1CD36FD0"/>
    <w:rsid w:val="1CDD43FB"/>
    <w:rsid w:val="1CE912A0"/>
    <w:rsid w:val="1CFF5E52"/>
    <w:rsid w:val="1D104A7F"/>
    <w:rsid w:val="1D1A76AB"/>
    <w:rsid w:val="1D942441"/>
    <w:rsid w:val="1D943902"/>
    <w:rsid w:val="1D9B314D"/>
    <w:rsid w:val="1DCC309C"/>
    <w:rsid w:val="1DCD0BC2"/>
    <w:rsid w:val="1DDF068E"/>
    <w:rsid w:val="1E107D09"/>
    <w:rsid w:val="1E1B7B7F"/>
    <w:rsid w:val="1E396257"/>
    <w:rsid w:val="1E454BFC"/>
    <w:rsid w:val="1E4C5F8A"/>
    <w:rsid w:val="1E5866DD"/>
    <w:rsid w:val="1E5E7A6C"/>
    <w:rsid w:val="1E6F7042"/>
    <w:rsid w:val="1E8474D2"/>
    <w:rsid w:val="1EA447FB"/>
    <w:rsid w:val="1EC75611"/>
    <w:rsid w:val="1F42113B"/>
    <w:rsid w:val="1F805BBC"/>
    <w:rsid w:val="1FB2006F"/>
    <w:rsid w:val="1FC508AF"/>
    <w:rsid w:val="1FCF5C7C"/>
    <w:rsid w:val="2080016D"/>
    <w:rsid w:val="20C22534"/>
    <w:rsid w:val="20C4005A"/>
    <w:rsid w:val="20CA13E8"/>
    <w:rsid w:val="20DD111C"/>
    <w:rsid w:val="20E029BA"/>
    <w:rsid w:val="20E53DA9"/>
    <w:rsid w:val="20F14BC7"/>
    <w:rsid w:val="20FC63AD"/>
    <w:rsid w:val="20FD2D5C"/>
    <w:rsid w:val="21025026"/>
    <w:rsid w:val="210B3EDB"/>
    <w:rsid w:val="21133CC7"/>
    <w:rsid w:val="212D05FC"/>
    <w:rsid w:val="212F5A19"/>
    <w:rsid w:val="217A4BBD"/>
    <w:rsid w:val="218B6DCA"/>
    <w:rsid w:val="21B005DE"/>
    <w:rsid w:val="21C10A3D"/>
    <w:rsid w:val="21C414CA"/>
    <w:rsid w:val="21C569DD"/>
    <w:rsid w:val="21F66F4C"/>
    <w:rsid w:val="220D5A31"/>
    <w:rsid w:val="2217065D"/>
    <w:rsid w:val="221768AF"/>
    <w:rsid w:val="2221070E"/>
    <w:rsid w:val="22442632"/>
    <w:rsid w:val="225418B2"/>
    <w:rsid w:val="226B58C3"/>
    <w:rsid w:val="22726372"/>
    <w:rsid w:val="22910410"/>
    <w:rsid w:val="22C04851"/>
    <w:rsid w:val="22E9024C"/>
    <w:rsid w:val="22EB3C0A"/>
    <w:rsid w:val="22EC1AEA"/>
    <w:rsid w:val="2310001A"/>
    <w:rsid w:val="23250B58"/>
    <w:rsid w:val="233D435E"/>
    <w:rsid w:val="23456A34"/>
    <w:rsid w:val="237A0EA4"/>
    <w:rsid w:val="23857FD5"/>
    <w:rsid w:val="239D1036"/>
    <w:rsid w:val="239D567C"/>
    <w:rsid w:val="23A777BF"/>
    <w:rsid w:val="23AA60E9"/>
    <w:rsid w:val="23C742C2"/>
    <w:rsid w:val="2404422C"/>
    <w:rsid w:val="240A3AB2"/>
    <w:rsid w:val="242157C3"/>
    <w:rsid w:val="243F7403"/>
    <w:rsid w:val="2460234C"/>
    <w:rsid w:val="246D2675"/>
    <w:rsid w:val="24973CD7"/>
    <w:rsid w:val="24CA70D0"/>
    <w:rsid w:val="24D82326"/>
    <w:rsid w:val="24FA7B37"/>
    <w:rsid w:val="251A1197"/>
    <w:rsid w:val="252F3F10"/>
    <w:rsid w:val="253A4D8F"/>
    <w:rsid w:val="253B28B5"/>
    <w:rsid w:val="25537BFE"/>
    <w:rsid w:val="255B68D6"/>
    <w:rsid w:val="255F47F5"/>
    <w:rsid w:val="25761B3F"/>
    <w:rsid w:val="25820F90"/>
    <w:rsid w:val="260D5FFF"/>
    <w:rsid w:val="261E020C"/>
    <w:rsid w:val="262827A7"/>
    <w:rsid w:val="26384FC0"/>
    <w:rsid w:val="268F2EB8"/>
    <w:rsid w:val="26B96187"/>
    <w:rsid w:val="26D63BC5"/>
    <w:rsid w:val="26E86A6C"/>
    <w:rsid w:val="27135897"/>
    <w:rsid w:val="2736411B"/>
    <w:rsid w:val="273E668C"/>
    <w:rsid w:val="27424579"/>
    <w:rsid w:val="275B0FEC"/>
    <w:rsid w:val="277A2CFF"/>
    <w:rsid w:val="27CB4FE4"/>
    <w:rsid w:val="27F76F67"/>
    <w:rsid w:val="280262A6"/>
    <w:rsid w:val="280E2503"/>
    <w:rsid w:val="28235FAE"/>
    <w:rsid w:val="282B0C73"/>
    <w:rsid w:val="2837470D"/>
    <w:rsid w:val="283D6944"/>
    <w:rsid w:val="284973C4"/>
    <w:rsid w:val="28836A4D"/>
    <w:rsid w:val="28996270"/>
    <w:rsid w:val="289B47AA"/>
    <w:rsid w:val="289F315B"/>
    <w:rsid w:val="29173044"/>
    <w:rsid w:val="29315979"/>
    <w:rsid w:val="29332221"/>
    <w:rsid w:val="2946767B"/>
    <w:rsid w:val="298F31CF"/>
    <w:rsid w:val="29E0219C"/>
    <w:rsid w:val="29E74DB9"/>
    <w:rsid w:val="29F85218"/>
    <w:rsid w:val="2A1A64A7"/>
    <w:rsid w:val="2A253012"/>
    <w:rsid w:val="2A2A3EA1"/>
    <w:rsid w:val="2A337FFE"/>
    <w:rsid w:val="2A353D77"/>
    <w:rsid w:val="2A435F0E"/>
    <w:rsid w:val="2A6C3FFC"/>
    <w:rsid w:val="2A834AE2"/>
    <w:rsid w:val="2A866380"/>
    <w:rsid w:val="2AAF7A65"/>
    <w:rsid w:val="2ACA7931"/>
    <w:rsid w:val="2AD03A9F"/>
    <w:rsid w:val="2B013C59"/>
    <w:rsid w:val="2B413784"/>
    <w:rsid w:val="2B4D598A"/>
    <w:rsid w:val="2B544400"/>
    <w:rsid w:val="2B653354"/>
    <w:rsid w:val="2B69017C"/>
    <w:rsid w:val="2B844FB6"/>
    <w:rsid w:val="2B88437A"/>
    <w:rsid w:val="2B996587"/>
    <w:rsid w:val="2BC5737C"/>
    <w:rsid w:val="2C1A76C8"/>
    <w:rsid w:val="2C2E11FB"/>
    <w:rsid w:val="2C4B162F"/>
    <w:rsid w:val="2C7118F7"/>
    <w:rsid w:val="2C832E96"/>
    <w:rsid w:val="2C8763E0"/>
    <w:rsid w:val="2C8E3C12"/>
    <w:rsid w:val="2CB216AE"/>
    <w:rsid w:val="2CC6515A"/>
    <w:rsid w:val="2CDF0BA9"/>
    <w:rsid w:val="2CE81574"/>
    <w:rsid w:val="2D0839C4"/>
    <w:rsid w:val="2D0A3299"/>
    <w:rsid w:val="2D214A6B"/>
    <w:rsid w:val="2D3C7552"/>
    <w:rsid w:val="2D4A5D8B"/>
    <w:rsid w:val="2D636E4D"/>
    <w:rsid w:val="2D686211"/>
    <w:rsid w:val="2D6F60AD"/>
    <w:rsid w:val="2D8F35A3"/>
    <w:rsid w:val="2D9D1FA4"/>
    <w:rsid w:val="2DA90D03"/>
    <w:rsid w:val="2DB866E7"/>
    <w:rsid w:val="2DC84F02"/>
    <w:rsid w:val="2DD815E9"/>
    <w:rsid w:val="2DEF06E0"/>
    <w:rsid w:val="2E0423DE"/>
    <w:rsid w:val="2E177BB2"/>
    <w:rsid w:val="2E481F4F"/>
    <w:rsid w:val="2E483A7C"/>
    <w:rsid w:val="2E5C5D76"/>
    <w:rsid w:val="2E7A774E"/>
    <w:rsid w:val="2E8F0D4A"/>
    <w:rsid w:val="2E98034E"/>
    <w:rsid w:val="2EA94A1A"/>
    <w:rsid w:val="2EB318AE"/>
    <w:rsid w:val="2ED7364E"/>
    <w:rsid w:val="2EEA6B08"/>
    <w:rsid w:val="2EFC6A22"/>
    <w:rsid w:val="2F043E2F"/>
    <w:rsid w:val="2F13458E"/>
    <w:rsid w:val="2F2345B2"/>
    <w:rsid w:val="2F416D1A"/>
    <w:rsid w:val="2F6863CC"/>
    <w:rsid w:val="2FC2013D"/>
    <w:rsid w:val="2FCD4A51"/>
    <w:rsid w:val="2FEF7873"/>
    <w:rsid w:val="3014746B"/>
    <w:rsid w:val="30187601"/>
    <w:rsid w:val="301F34FF"/>
    <w:rsid w:val="302F5723"/>
    <w:rsid w:val="303348B4"/>
    <w:rsid w:val="306B63A3"/>
    <w:rsid w:val="30711E07"/>
    <w:rsid w:val="3071362F"/>
    <w:rsid w:val="307A4036"/>
    <w:rsid w:val="30B73737"/>
    <w:rsid w:val="31277A6D"/>
    <w:rsid w:val="31470B66"/>
    <w:rsid w:val="31554CFE"/>
    <w:rsid w:val="318748E3"/>
    <w:rsid w:val="31A57A34"/>
    <w:rsid w:val="31B7209A"/>
    <w:rsid w:val="31B859B9"/>
    <w:rsid w:val="31D200FD"/>
    <w:rsid w:val="31DA5F8B"/>
    <w:rsid w:val="32144BB9"/>
    <w:rsid w:val="32370010"/>
    <w:rsid w:val="326E42CA"/>
    <w:rsid w:val="32C963A3"/>
    <w:rsid w:val="330368BD"/>
    <w:rsid w:val="330D4180"/>
    <w:rsid w:val="332B45DF"/>
    <w:rsid w:val="333077D1"/>
    <w:rsid w:val="33356B95"/>
    <w:rsid w:val="334119DE"/>
    <w:rsid w:val="33861875"/>
    <w:rsid w:val="339A2E9C"/>
    <w:rsid w:val="33D63589"/>
    <w:rsid w:val="33E150E2"/>
    <w:rsid w:val="33F407FF"/>
    <w:rsid w:val="3403034E"/>
    <w:rsid w:val="342002E1"/>
    <w:rsid w:val="34264730"/>
    <w:rsid w:val="346D1713"/>
    <w:rsid w:val="34781430"/>
    <w:rsid w:val="347B3DF7"/>
    <w:rsid w:val="347D07F4"/>
    <w:rsid w:val="34833930"/>
    <w:rsid w:val="348A2F11"/>
    <w:rsid w:val="348B042C"/>
    <w:rsid w:val="34C57BA3"/>
    <w:rsid w:val="34F605A6"/>
    <w:rsid w:val="35161967"/>
    <w:rsid w:val="35700359"/>
    <w:rsid w:val="358D558E"/>
    <w:rsid w:val="358E0BDF"/>
    <w:rsid w:val="35901D6E"/>
    <w:rsid w:val="3590276F"/>
    <w:rsid w:val="35AF7AAF"/>
    <w:rsid w:val="35BA15D4"/>
    <w:rsid w:val="35BA7826"/>
    <w:rsid w:val="35CC4E17"/>
    <w:rsid w:val="360931FD"/>
    <w:rsid w:val="3623361D"/>
    <w:rsid w:val="362A675A"/>
    <w:rsid w:val="365B6913"/>
    <w:rsid w:val="367B6FB5"/>
    <w:rsid w:val="36857E34"/>
    <w:rsid w:val="3698771E"/>
    <w:rsid w:val="36E3211C"/>
    <w:rsid w:val="36EC376B"/>
    <w:rsid w:val="3710594F"/>
    <w:rsid w:val="372B2789"/>
    <w:rsid w:val="37702892"/>
    <w:rsid w:val="37974852"/>
    <w:rsid w:val="37B704C1"/>
    <w:rsid w:val="37D3697D"/>
    <w:rsid w:val="37D90437"/>
    <w:rsid w:val="37F7266B"/>
    <w:rsid w:val="3820263F"/>
    <w:rsid w:val="387B5ADC"/>
    <w:rsid w:val="388555D0"/>
    <w:rsid w:val="389152DA"/>
    <w:rsid w:val="38A30A45"/>
    <w:rsid w:val="38AD086D"/>
    <w:rsid w:val="38C63620"/>
    <w:rsid w:val="38F62292"/>
    <w:rsid w:val="38F65019"/>
    <w:rsid w:val="393873DF"/>
    <w:rsid w:val="39456D42"/>
    <w:rsid w:val="394E09B1"/>
    <w:rsid w:val="39761CB6"/>
    <w:rsid w:val="397A79F8"/>
    <w:rsid w:val="39900FC9"/>
    <w:rsid w:val="3A233946"/>
    <w:rsid w:val="3A2D6818"/>
    <w:rsid w:val="3A45232C"/>
    <w:rsid w:val="3A4818A4"/>
    <w:rsid w:val="3A7206CF"/>
    <w:rsid w:val="3A993EAE"/>
    <w:rsid w:val="3AAF1923"/>
    <w:rsid w:val="3AB02FA5"/>
    <w:rsid w:val="3AB37A96"/>
    <w:rsid w:val="3AC86541"/>
    <w:rsid w:val="3ACE1C6A"/>
    <w:rsid w:val="3ADF21C2"/>
    <w:rsid w:val="3B1654FE"/>
    <w:rsid w:val="3B1F2605"/>
    <w:rsid w:val="3B2A71FC"/>
    <w:rsid w:val="3B312338"/>
    <w:rsid w:val="3B5E529E"/>
    <w:rsid w:val="3B7C27E7"/>
    <w:rsid w:val="3B933625"/>
    <w:rsid w:val="3BDA29D0"/>
    <w:rsid w:val="3BDF1D94"/>
    <w:rsid w:val="3C0B1BBF"/>
    <w:rsid w:val="3C1F03E3"/>
    <w:rsid w:val="3C2974B3"/>
    <w:rsid w:val="3C4147FD"/>
    <w:rsid w:val="3C4165AB"/>
    <w:rsid w:val="3C56470C"/>
    <w:rsid w:val="3C634773"/>
    <w:rsid w:val="3C6E4331"/>
    <w:rsid w:val="3C8E2C30"/>
    <w:rsid w:val="3D001FC2"/>
    <w:rsid w:val="3D0C4E0B"/>
    <w:rsid w:val="3D35451E"/>
    <w:rsid w:val="3DA4385A"/>
    <w:rsid w:val="3DB64A21"/>
    <w:rsid w:val="3DC76F84"/>
    <w:rsid w:val="3DE2791A"/>
    <w:rsid w:val="3DFD29A6"/>
    <w:rsid w:val="3E241CE0"/>
    <w:rsid w:val="3E3363C7"/>
    <w:rsid w:val="3E7E7594"/>
    <w:rsid w:val="3E82529D"/>
    <w:rsid w:val="3E8D5AD7"/>
    <w:rsid w:val="3E8E1DAD"/>
    <w:rsid w:val="3E984202"/>
    <w:rsid w:val="3E99447C"/>
    <w:rsid w:val="3EE6168C"/>
    <w:rsid w:val="3EFB5137"/>
    <w:rsid w:val="3F1E0E25"/>
    <w:rsid w:val="3F2F6B8F"/>
    <w:rsid w:val="3F514D57"/>
    <w:rsid w:val="3F521BAB"/>
    <w:rsid w:val="3F553F25"/>
    <w:rsid w:val="3F6A5DDA"/>
    <w:rsid w:val="3F74350F"/>
    <w:rsid w:val="3F9966FE"/>
    <w:rsid w:val="3F9F3D14"/>
    <w:rsid w:val="3FA310CE"/>
    <w:rsid w:val="3FC65745"/>
    <w:rsid w:val="3FFB2F15"/>
    <w:rsid w:val="40026051"/>
    <w:rsid w:val="404E6ADA"/>
    <w:rsid w:val="40955117"/>
    <w:rsid w:val="409A0980"/>
    <w:rsid w:val="40A106BD"/>
    <w:rsid w:val="40D228FF"/>
    <w:rsid w:val="40D774DE"/>
    <w:rsid w:val="41313092"/>
    <w:rsid w:val="41894C7C"/>
    <w:rsid w:val="419D07B6"/>
    <w:rsid w:val="419F19BE"/>
    <w:rsid w:val="41B94E35"/>
    <w:rsid w:val="41BB6E00"/>
    <w:rsid w:val="41CF6407"/>
    <w:rsid w:val="41D41C6F"/>
    <w:rsid w:val="420168EE"/>
    <w:rsid w:val="421538F8"/>
    <w:rsid w:val="421C3283"/>
    <w:rsid w:val="42613503"/>
    <w:rsid w:val="42784CF1"/>
    <w:rsid w:val="42894808"/>
    <w:rsid w:val="42A96C58"/>
    <w:rsid w:val="42B00A30"/>
    <w:rsid w:val="42BA2C13"/>
    <w:rsid w:val="42C43A92"/>
    <w:rsid w:val="431762B8"/>
    <w:rsid w:val="431C167A"/>
    <w:rsid w:val="432B58BF"/>
    <w:rsid w:val="434075BC"/>
    <w:rsid w:val="434A043B"/>
    <w:rsid w:val="434D1C03"/>
    <w:rsid w:val="435B2648"/>
    <w:rsid w:val="437159C8"/>
    <w:rsid w:val="4379487C"/>
    <w:rsid w:val="437E00E5"/>
    <w:rsid w:val="43917E18"/>
    <w:rsid w:val="43A4332B"/>
    <w:rsid w:val="43B859E4"/>
    <w:rsid w:val="43C755E8"/>
    <w:rsid w:val="43DD12AF"/>
    <w:rsid w:val="43EE7018"/>
    <w:rsid w:val="43EF0FE2"/>
    <w:rsid w:val="44432266"/>
    <w:rsid w:val="444B446B"/>
    <w:rsid w:val="447E4FEB"/>
    <w:rsid w:val="44854976"/>
    <w:rsid w:val="449221E8"/>
    <w:rsid w:val="44BD0353"/>
    <w:rsid w:val="44EE4DF6"/>
    <w:rsid w:val="450D34CE"/>
    <w:rsid w:val="451A208F"/>
    <w:rsid w:val="4529315D"/>
    <w:rsid w:val="453C1F26"/>
    <w:rsid w:val="45602AB9"/>
    <w:rsid w:val="45717F01"/>
    <w:rsid w:val="457C4AF8"/>
    <w:rsid w:val="457E7663"/>
    <w:rsid w:val="45991206"/>
    <w:rsid w:val="45A8769B"/>
    <w:rsid w:val="45AC718B"/>
    <w:rsid w:val="45C0642E"/>
    <w:rsid w:val="460743C1"/>
    <w:rsid w:val="461940F5"/>
    <w:rsid w:val="461E170B"/>
    <w:rsid w:val="463567F2"/>
    <w:rsid w:val="468E4AE3"/>
    <w:rsid w:val="46AD34B1"/>
    <w:rsid w:val="46CC37DC"/>
    <w:rsid w:val="46EB40C3"/>
    <w:rsid w:val="46EE3AEB"/>
    <w:rsid w:val="46F56910"/>
    <w:rsid w:val="46FF778E"/>
    <w:rsid w:val="47282841"/>
    <w:rsid w:val="473F5DDD"/>
    <w:rsid w:val="474D04FA"/>
    <w:rsid w:val="474E4167"/>
    <w:rsid w:val="475353E4"/>
    <w:rsid w:val="47631ACB"/>
    <w:rsid w:val="476D46F8"/>
    <w:rsid w:val="47705F96"/>
    <w:rsid w:val="477C1577"/>
    <w:rsid w:val="479C4F08"/>
    <w:rsid w:val="47AF2F63"/>
    <w:rsid w:val="47CD33E9"/>
    <w:rsid w:val="47E86474"/>
    <w:rsid w:val="483F42E6"/>
    <w:rsid w:val="48621D83"/>
    <w:rsid w:val="48691363"/>
    <w:rsid w:val="48741AB6"/>
    <w:rsid w:val="48A759E8"/>
    <w:rsid w:val="48B65BD4"/>
    <w:rsid w:val="49284D7B"/>
    <w:rsid w:val="492928A1"/>
    <w:rsid w:val="493A4AAE"/>
    <w:rsid w:val="495906E1"/>
    <w:rsid w:val="497C6E74"/>
    <w:rsid w:val="49B91E77"/>
    <w:rsid w:val="49CD3F23"/>
    <w:rsid w:val="49D7054F"/>
    <w:rsid w:val="49E35145"/>
    <w:rsid w:val="4A0B01F8"/>
    <w:rsid w:val="4A13372F"/>
    <w:rsid w:val="4A2D63C1"/>
    <w:rsid w:val="4A346E6B"/>
    <w:rsid w:val="4A471230"/>
    <w:rsid w:val="4A484FA8"/>
    <w:rsid w:val="4A58343D"/>
    <w:rsid w:val="4A77763C"/>
    <w:rsid w:val="4A7E09CA"/>
    <w:rsid w:val="4A8C6CAA"/>
    <w:rsid w:val="4A8E3303"/>
    <w:rsid w:val="4AE44CD1"/>
    <w:rsid w:val="4AF5003F"/>
    <w:rsid w:val="4B007631"/>
    <w:rsid w:val="4B0233A9"/>
    <w:rsid w:val="4B3519D1"/>
    <w:rsid w:val="4B386DCB"/>
    <w:rsid w:val="4B5F6A4E"/>
    <w:rsid w:val="4B775B45"/>
    <w:rsid w:val="4B7D3C6A"/>
    <w:rsid w:val="4B8E10E1"/>
    <w:rsid w:val="4B8E4B97"/>
    <w:rsid w:val="4B8E4C43"/>
    <w:rsid w:val="4BB52448"/>
    <w:rsid w:val="4BBF74EC"/>
    <w:rsid w:val="4BC32B39"/>
    <w:rsid w:val="4BC93EC7"/>
    <w:rsid w:val="4BD50ABE"/>
    <w:rsid w:val="4BD56D10"/>
    <w:rsid w:val="4BFC24EE"/>
    <w:rsid w:val="4C1E06B7"/>
    <w:rsid w:val="4C352402"/>
    <w:rsid w:val="4C3D289C"/>
    <w:rsid w:val="4C3E2B07"/>
    <w:rsid w:val="4C496836"/>
    <w:rsid w:val="4C5B5467"/>
    <w:rsid w:val="4C681932"/>
    <w:rsid w:val="4C806C7C"/>
    <w:rsid w:val="4CC55C8F"/>
    <w:rsid w:val="4CC96874"/>
    <w:rsid w:val="4CE30FB8"/>
    <w:rsid w:val="4CF51418"/>
    <w:rsid w:val="4CF61F0A"/>
    <w:rsid w:val="4D072AD1"/>
    <w:rsid w:val="4D0C49B3"/>
    <w:rsid w:val="4D2E66D8"/>
    <w:rsid w:val="4D3006A2"/>
    <w:rsid w:val="4D4B7ADF"/>
    <w:rsid w:val="4D6646B1"/>
    <w:rsid w:val="4D6E2F78"/>
    <w:rsid w:val="4D966B30"/>
    <w:rsid w:val="4D9724CF"/>
    <w:rsid w:val="4DA91C75"/>
    <w:rsid w:val="4DAE15C6"/>
    <w:rsid w:val="4DB45A88"/>
    <w:rsid w:val="4DBF1A26"/>
    <w:rsid w:val="4DD94895"/>
    <w:rsid w:val="4DE342A5"/>
    <w:rsid w:val="4DE904E0"/>
    <w:rsid w:val="4DEB281B"/>
    <w:rsid w:val="4DEB45C9"/>
    <w:rsid w:val="4DF01BDF"/>
    <w:rsid w:val="4E12415A"/>
    <w:rsid w:val="4E2634BF"/>
    <w:rsid w:val="4E2B70BB"/>
    <w:rsid w:val="4E3A10AC"/>
    <w:rsid w:val="4EA10B09"/>
    <w:rsid w:val="4ED80FF1"/>
    <w:rsid w:val="4EEE2C78"/>
    <w:rsid w:val="4F020368"/>
    <w:rsid w:val="4F02606E"/>
    <w:rsid w:val="4F22401A"/>
    <w:rsid w:val="4F365D17"/>
    <w:rsid w:val="4F4E005F"/>
    <w:rsid w:val="4F57369A"/>
    <w:rsid w:val="4F7A20A8"/>
    <w:rsid w:val="4F801FAA"/>
    <w:rsid w:val="4F867008"/>
    <w:rsid w:val="4F8E16AF"/>
    <w:rsid w:val="4FEC2D98"/>
    <w:rsid w:val="4FEC4864"/>
    <w:rsid w:val="50485D02"/>
    <w:rsid w:val="504D50C7"/>
    <w:rsid w:val="50630D8E"/>
    <w:rsid w:val="507516D4"/>
    <w:rsid w:val="509251CF"/>
    <w:rsid w:val="50BC7085"/>
    <w:rsid w:val="50D92558"/>
    <w:rsid w:val="50E52447"/>
    <w:rsid w:val="51134562"/>
    <w:rsid w:val="51366117"/>
    <w:rsid w:val="513E2C61"/>
    <w:rsid w:val="516528E4"/>
    <w:rsid w:val="518B234A"/>
    <w:rsid w:val="51B01DB1"/>
    <w:rsid w:val="51D677D1"/>
    <w:rsid w:val="5208399B"/>
    <w:rsid w:val="52320A18"/>
    <w:rsid w:val="52A64F62"/>
    <w:rsid w:val="52B85BC6"/>
    <w:rsid w:val="52D2676F"/>
    <w:rsid w:val="52F3346A"/>
    <w:rsid w:val="53373E0C"/>
    <w:rsid w:val="533A1405"/>
    <w:rsid w:val="534F5D39"/>
    <w:rsid w:val="537756E0"/>
    <w:rsid w:val="537A4860"/>
    <w:rsid w:val="539D0113"/>
    <w:rsid w:val="539E42B0"/>
    <w:rsid w:val="53A4760D"/>
    <w:rsid w:val="53B042EA"/>
    <w:rsid w:val="53BD6A07"/>
    <w:rsid w:val="53BF72F1"/>
    <w:rsid w:val="53D8739D"/>
    <w:rsid w:val="541212FA"/>
    <w:rsid w:val="541859EC"/>
    <w:rsid w:val="54210D44"/>
    <w:rsid w:val="54696247"/>
    <w:rsid w:val="54697358"/>
    <w:rsid w:val="54EF0E42"/>
    <w:rsid w:val="551B53B0"/>
    <w:rsid w:val="55256612"/>
    <w:rsid w:val="554B76AB"/>
    <w:rsid w:val="55517407"/>
    <w:rsid w:val="556233C2"/>
    <w:rsid w:val="5582485D"/>
    <w:rsid w:val="55945D43"/>
    <w:rsid w:val="55B6370E"/>
    <w:rsid w:val="55BB6F76"/>
    <w:rsid w:val="55E66848"/>
    <w:rsid w:val="55F95FDF"/>
    <w:rsid w:val="56043034"/>
    <w:rsid w:val="56073F6A"/>
    <w:rsid w:val="561F12B3"/>
    <w:rsid w:val="56220DA3"/>
    <w:rsid w:val="565F3DA6"/>
    <w:rsid w:val="568E4D67"/>
    <w:rsid w:val="56A45C5C"/>
    <w:rsid w:val="56DC71A4"/>
    <w:rsid w:val="56E23696"/>
    <w:rsid w:val="56E97E02"/>
    <w:rsid w:val="56F52014"/>
    <w:rsid w:val="56F664B8"/>
    <w:rsid w:val="570F2E08"/>
    <w:rsid w:val="57BF2D4E"/>
    <w:rsid w:val="57CC0FC7"/>
    <w:rsid w:val="57DB2AC6"/>
    <w:rsid w:val="57E17504"/>
    <w:rsid w:val="58262DCD"/>
    <w:rsid w:val="585D60C3"/>
    <w:rsid w:val="58705DF6"/>
    <w:rsid w:val="58810003"/>
    <w:rsid w:val="58A75958"/>
    <w:rsid w:val="58AB32D2"/>
    <w:rsid w:val="58CB5722"/>
    <w:rsid w:val="58DA7713"/>
    <w:rsid w:val="59134C30"/>
    <w:rsid w:val="591E199E"/>
    <w:rsid w:val="59237F4C"/>
    <w:rsid w:val="594D1384"/>
    <w:rsid w:val="595C637A"/>
    <w:rsid w:val="596F60AE"/>
    <w:rsid w:val="59760CB6"/>
    <w:rsid w:val="59772103"/>
    <w:rsid w:val="59810B11"/>
    <w:rsid w:val="598B6C60"/>
    <w:rsid w:val="59932E5B"/>
    <w:rsid w:val="59BB5797"/>
    <w:rsid w:val="59EF71EF"/>
    <w:rsid w:val="59F6522E"/>
    <w:rsid w:val="59FE5B32"/>
    <w:rsid w:val="5A0D614D"/>
    <w:rsid w:val="5A157CD6"/>
    <w:rsid w:val="5A276988"/>
    <w:rsid w:val="5A492DA3"/>
    <w:rsid w:val="5A5D45CD"/>
    <w:rsid w:val="5A81253D"/>
    <w:rsid w:val="5A932270"/>
    <w:rsid w:val="5AB53F94"/>
    <w:rsid w:val="5ABA5A4E"/>
    <w:rsid w:val="5ACF2987"/>
    <w:rsid w:val="5AD85ED5"/>
    <w:rsid w:val="5B04316E"/>
    <w:rsid w:val="5B242EC8"/>
    <w:rsid w:val="5B260E18"/>
    <w:rsid w:val="5B296730"/>
    <w:rsid w:val="5B3267DE"/>
    <w:rsid w:val="5B43282A"/>
    <w:rsid w:val="5B44356A"/>
    <w:rsid w:val="5B48305A"/>
    <w:rsid w:val="5B8B65BE"/>
    <w:rsid w:val="5BA65FD3"/>
    <w:rsid w:val="5BA86D2B"/>
    <w:rsid w:val="5BB93F58"/>
    <w:rsid w:val="5BC23FAD"/>
    <w:rsid w:val="5BCD17B1"/>
    <w:rsid w:val="5BD60FBC"/>
    <w:rsid w:val="5BFE3079"/>
    <w:rsid w:val="5C0D3694"/>
    <w:rsid w:val="5C62014C"/>
    <w:rsid w:val="5C6519EA"/>
    <w:rsid w:val="5C7A5ECF"/>
    <w:rsid w:val="5C7E485A"/>
    <w:rsid w:val="5CA51446"/>
    <w:rsid w:val="5CBA7F88"/>
    <w:rsid w:val="5CCE57E1"/>
    <w:rsid w:val="5CEB1EEF"/>
    <w:rsid w:val="5CF35248"/>
    <w:rsid w:val="5D0905C7"/>
    <w:rsid w:val="5D3665F9"/>
    <w:rsid w:val="5D414205"/>
    <w:rsid w:val="5D5A0E23"/>
    <w:rsid w:val="5D5C2DED"/>
    <w:rsid w:val="5D6E48CE"/>
    <w:rsid w:val="5DB1138B"/>
    <w:rsid w:val="5DB669A1"/>
    <w:rsid w:val="5DDC0801"/>
    <w:rsid w:val="5DF70D68"/>
    <w:rsid w:val="5E070FAB"/>
    <w:rsid w:val="5E1F1D96"/>
    <w:rsid w:val="5E27164D"/>
    <w:rsid w:val="5E510478"/>
    <w:rsid w:val="5E5F2BE4"/>
    <w:rsid w:val="5E6E102A"/>
    <w:rsid w:val="5E781EA8"/>
    <w:rsid w:val="5E873E9A"/>
    <w:rsid w:val="5EAB6706"/>
    <w:rsid w:val="5EAC3900"/>
    <w:rsid w:val="5EB14C3F"/>
    <w:rsid w:val="5EEE3058"/>
    <w:rsid w:val="5EEF59AA"/>
    <w:rsid w:val="5F125074"/>
    <w:rsid w:val="5F5C5326"/>
    <w:rsid w:val="5F6917F1"/>
    <w:rsid w:val="5F697A43"/>
    <w:rsid w:val="5F9E47CA"/>
    <w:rsid w:val="5FAB005C"/>
    <w:rsid w:val="5FCB2A77"/>
    <w:rsid w:val="5FE22D60"/>
    <w:rsid w:val="60065292"/>
    <w:rsid w:val="603752B7"/>
    <w:rsid w:val="60661CB4"/>
    <w:rsid w:val="6071095D"/>
    <w:rsid w:val="607779D0"/>
    <w:rsid w:val="60940AF0"/>
    <w:rsid w:val="60B42F40"/>
    <w:rsid w:val="60C2565D"/>
    <w:rsid w:val="60CA4511"/>
    <w:rsid w:val="612620F2"/>
    <w:rsid w:val="61521F2D"/>
    <w:rsid w:val="618F6740"/>
    <w:rsid w:val="61D4389A"/>
    <w:rsid w:val="61DE0274"/>
    <w:rsid w:val="61EB473F"/>
    <w:rsid w:val="62134E52"/>
    <w:rsid w:val="621A62A0"/>
    <w:rsid w:val="62483940"/>
    <w:rsid w:val="62564538"/>
    <w:rsid w:val="62586279"/>
    <w:rsid w:val="62612D73"/>
    <w:rsid w:val="62674C7D"/>
    <w:rsid w:val="62A019CE"/>
    <w:rsid w:val="62AE5E99"/>
    <w:rsid w:val="631E48B5"/>
    <w:rsid w:val="63220635"/>
    <w:rsid w:val="6329551F"/>
    <w:rsid w:val="633F4D43"/>
    <w:rsid w:val="63584057"/>
    <w:rsid w:val="635B76A3"/>
    <w:rsid w:val="636F0D32"/>
    <w:rsid w:val="638906B4"/>
    <w:rsid w:val="63894210"/>
    <w:rsid w:val="63AD2BAB"/>
    <w:rsid w:val="63BF1EDF"/>
    <w:rsid w:val="63C35974"/>
    <w:rsid w:val="63C811DC"/>
    <w:rsid w:val="63EB0A27"/>
    <w:rsid w:val="63F0428F"/>
    <w:rsid w:val="64095351"/>
    <w:rsid w:val="64457633"/>
    <w:rsid w:val="644C132A"/>
    <w:rsid w:val="64587922"/>
    <w:rsid w:val="646627A3"/>
    <w:rsid w:val="648D0832"/>
    <w:rsid w:val="64B61035"/>
    <w:rsid w:val="64C644FC"/>
    <w:rsid w:val="64D42F2C"/>
    <w:rsid w:val="64F32289"/>
    <w:rsid w:val="65051FBC"/>
    <w:rsid w:val="652266CA"/>
    <w:rsid w:val="65620D48"/>
    <w:rsid w:val="6569254B"/>
    <w:rsid w:val="65757E59"/>
    <w:rsid w:val="657F1D6E"/>
    <w:rsid w:val="6580322C"/>
    <w:rsid w:val="658229E4"/>
    <w:rsid w:val="65931376"/>
    <w:rsid w:val="65960E66"/>
    <w:rsid w:val="65AE4402"/>
    <w:rsid w:val="65B5753E"/>
    <w:rsid w:val="65BA2DA7"/>
    <w:rsid w:val="65BA4B55"/>
    <w:rsid w:val="65DA51F7"/>
    <w:rsid w:val="6635554A"/>
    <w:rsid w:val="663649BE"/>
    <w:rsid w:val="664B7EA3"/>
    <w:rsid w:val="664D45E3"/>
    <w:rsid w:val="66630D48"/>
    <w:rsid w:val="66666A8A"/>
    <w:rsid w:val="666A0329"/>
    <w:rsid w:val="66911D59"/>
    <w:rsid w:val="66990C0E"/>
    <w:rsid w:val="66B15F58"/>
    <w:rsid w:val="66D8205A"/>
    <w:rsid w:val="66ED0F5A"/>
    <w:rsid w:val="6712451C"/>
    <w:rsid w:val="67672ABA"/>
    <w:rsid w:val="67696832"/>
    <w:rsid w:val="67CB3049"/>
    <w:rsid w:val="68103152"/>
    <w:rsid w:val="68104F00"/>
    <w:rsid w:val="684408E8"/>
    <w:rsid w:val="687E4870"/>
    <w:rsid w:val="688F051A"/>
    <w:rsid w:val="68D9718F"/>
    <w:rsid w:val="68F465CF"/>
    <w:rsid w:val="68FB5BB0"/>
    <w:rsid w:val="68FC5484"/>
    <w:rsid w:val="691B3127"/>
    <w:rsid w:val="692256F9"/>
    <w:rsid w:val="69863E30"/>
    <w:rsid w:val="698A6F34"/>
    <w:rsid w:val="69AF70F9"/>
    <w:rsid w:val="69C6636D"/>
    <w:rsid w:val="69C935B8"/>
    <w:rsid w:val="69DC778F"/>
    <w:rsid w:val="69F56662"/>
    <w:rsid w:val="69F745C9"/>
    <w:rsid w:val="6A1A3E14"/>
    <w:rsid w:val="6A3822CA"/>
    <w:rsid w:val="6A421FE5"/>
    <w:rsid w:val="6A505A87"/>
    <w:rsid w:val="6A5E63F6"/>
    <w:rsid w:val="6A7332FC"/>
    <w:rsid w:val="6AA36AD3"/>
    <w:rsid w:val="6AB46016"/>
    <w:rsid w:val="6ABE192F"/>
    <w:rsid w:val="6ACC54E8"/>
    <w:rsid w:val="6ACF3DC7"/>
    <w:rsid w:val="6AD93563"/>
    <w:rsid w:val="6AF40B09"/>
    <w:rsid w:val="6B0A20DA"/>
    <w:rsid w:val="6BBB5183"/>
    <w:rsid w:val="6BC26511"/>
    <w:rsid w:val="6BE36AD7"/>
    <w:rsid w:val="6BEC5C84"/>
    <w:rsid w:val="6C044D7B"/>
    <w:rsid w:val="6C0528A2"/>
    <w:rsid w:val="6C0F0B2F"/>
    <w:rsid w:val="6C172D01"/>
    <w:rsid w:val="6C5D7D56"/>
    <w:rsid w:val="6C8A7650"/>
    <w:rsid w:val="6CAE685B"/>
    <w:rsid w:val="6CD26C28"/>
    <w:rsid w:val="6D005437"/>
    <w:rsid w:val="6D050DAB"/>
    <w:rsid w:val="6D23209D"/>
    <w:rsid w:val="6D711757"/>
    <w:rsid w:val="6D936D70"/>
    <w:rsid w:val="6D9E0B73"/>
    <w:rsid w:val="6DB72C64"/>
    <w:rsid w:val="6E200CBB"/>
    <w:rsid w:val="6E274D51"/>
    <w:rsid w:val="6E315BD0"/>
    <w:rsid w:val="6E3F209B"/>
    <w:rsid w:val="6E8403F6"/>
    <w:rsid w:val="6E8603D5"/>
    <w:rsid w:val="6EBE3E3D"/>
    <w:rsid w:val="6EE079F1"/>
    <w:rsid w:val="6EF94940"/>
    <w:rsid w:val="6F2140E1"/>
    <w:rsid w:val="6F265009"/>
    <w:rsid w:val="6F2D283B"/>
    <w:rsid w:val="6F3A3BDF"/>
    <w:rsid w:val="6F3E2352"/>
    <w:rsid w:val="6F846384"/>
    <w:rsid w:val="6FC860C0"/>
    <w:rsid w:val="70052E70"/>
    <w:rsid w:val="70057314"/>
    <w:rsid w:val="700E441B"/>
    <w:rsid w:val="70117A67"/>
    <w:rsid w:val="7023779A"/>
    <w:rsid w:val="706B4675"/>
    <w:rsid w:val="70761A1C"/>
    <w:rsid w:val="70B07280"/>
    <w:rsid w:val="70B14DA6"/>
    <w:rsid w:val="70B76860"/>
    <w:rsid w:val="70D30085"/>
    <w:rsid w:val="70DD3DED"/>
    <w:rsid w:val="70FC4273"/>
    <w:rsid w:val="710650F2"/>
    <w:rsid w:val="710F044A"/>
    <w:rsid w:val="71263C16"/>
    <w:rsid w:val="712F0780"/>
    <w:rsid w:val="71353C29"/>
    <w:rsid w:val="715D79E9"/>
    <w:rsid w:val="716870EC"/>
    <w:rsid w:val="71A5490B"/>
    <w:rsid w:val="71B20DD6"/>
    <w:rsid w:val="71D451F0"/>
    <w:rsid w:val="71EC129E"/>
    <w:rsid w:val="722C0861"/>
    <w:rsid w:val="72656B0C"/>
    <w:rsid w:val="726C71D7"/>
    <w:rsid w:val="727D7636"/>
    <w:rsid w:val="728538C7"/>
    <w:rsid w:val="72C2773E"/>
    <w:rsid w:val="72D66D46"/>
    <w:rsid w:val="72DC25AE"/>
    <w:rsid w:val="72FA4732"/>
    <w:rsid w:val="732D4BB8"/>
    <w:rsid w:val="733A5527"/>
    <w:rsid w:val="7372081D"/>
    <w:rsid w:val="73740A39"/>
    <w:rsid w:val="7399049F"/>
    <w:rsid w:val="73C4187C"/>
    <w:rsid w:val="73C979D4"/>
    <w:rsid w:val="73D17C39"/>
    <w:rsid w:val="73F41B79"/>
    <w:rsid w:val="73FA1BF4"/>
    <w:rsid w:val="7419338E"/>
    <w:rsid w:val="743E1047"/>
    <w:rsid w:val="74424693"/>
    <w:rsid w:val="74716D26"/>
    <w:rsid w:val="7477281A"/>
    <w:rsid w:val="74842EFD"/>
    <w:rsid w:val="7491561A"/>
    <w:rsid w:val="749C2F63"/>
    <w:rsid w:val="74AC5FB0"/>
    <w:rsid w:val="74B23047"/>
    <w:rsid w:val="7507768A"/>
    <w:rsid w:val="75263FB5"/>
    <w:rsid w:val="754F701B"/>
    <w:rsid w:val="75526B58"/>
    <w:rsid w:val="75AD1FE0"/>
    <w:rsid w:val="75B25848"/>
    <w:rsid w:val="75C56449"/>
    <w:rsid w:val="75C8506C"/>
    <w:rsid w:val="75E43528"/>
    <w:rsid w:val="761107C1"/>
    <w:rsid w:val="76373F9F"/>
    <w:rsid w:val="764B3B5D"/>
    <w:rsid w:val="76581835"/>
    <w:rsid w:val="7677377C"/>
    <w:rsid w:val="767D256D"/>
    <w:rsid w:val="768C42EB"/>
    <w:rsid w:val="76C92E49"/>
    <w:rsid w:val="77415633"/>
    <w:rsid w:val="7763329E"/>
    <w:rsid w:val="77756B2D"/>
    <w:rsid w:val="777A4144"/>
    <w:rsid w:val="778356EE"/>
    <w:rsid w:val="779C1E57"/>
    <w:rsid w:val="77AF35C9"/>
    <w:rsid w:val="77C90C27"/>
    <w:rsid w:val="77C94015"/>
    <w:rsid w:val="77CF26E1"/>
    <w:rsid w:val="781F6A99"/>
    <w:rsid w:val="785030F6"/>
    <w:rsid w:val="785250C1"/>
    <w:rsid w:val="785279DB"/>
    <w:rsid w:val="78964663"/>
    <w:rsid w:val="78CC09CF"/>
    <w:rsid w:val="78CD4747"/>
    <w:rsid w:val="79167D56"/>
    <w:rsid w:val="794A2E35"/>
    <w:rsid w:val="79BA116F"/>
    <w:rsid w:val="79BD2A0E"/>
    <w:rsid w:val="79BD71CD"/>
    <w:rsid w:val="79D07472"/>
    <w:rsid w:val="79DC2E94"/>
    <w:rsid w:val="79DD36E1"/>
    <w:rsid w:val="79E166FC"/>
    <w:rsid w:val="79EE4C70"/>
    <w:rsid w:val="79F72FA5"/>
    <w:rsid w:val="7A644C9E"/>
    <w:rsid w:val="7A6F3D08"/>
    <w:rsid w:val="7AAD77E9"/>
    <w:rsid w:val="7AB14558"/>
    <w:rsid w:val="7AB968E7"/>
    <w:rsid w:val="7AD302CB"/>
    <w:rsid w:val="7AD55287"/>
    <w:rsid w:val="7B1A0118"/>
    <w:rsid w:val="7B2A5E81"/>
    <w:rsid w:val="7B3F3F6B"/>
    <w:rsid w:val="7B453BD8"/>
    <w:rsid w:val="7B694BFB"/>
    <w:rsid w:val="7B825CBD"/>
    <w:rsid w:val="7B9D48A5"/>
    <w:rsid w:val="7BA619AB"/>
    <w:rsid w:val="7BE44282"/>
    <w:rsid w:val="7BFD27E5"/>
    <w:rsid w:val="7C077F70"/>
    <w:rsid w:val="7C2645C2"/>
    <w:rsid w:val="7C280612"/>
    <w:rsid w:val="7C3F595C"/>
    <w:rsid w:val="7C5B09E8"/>
    <w:rsid w:val="7C8A4E29"/>
    <w:rsid w:val="7CA0289E"/>
    <w:rsid w:val="7CFB5F03"/>
    <w:rsid w:val="7D5D4E45"/>
    <w:rsid w:val="7D731D61"/>
    <w:rsid w:val="7D9D0B8C"/>
    <w:rsid w:val="7DA0067C"/>
    <w:rsid w:val="7DC66335"/>
    <w:rsid w:val="7E3A287F"/>
    <w:rsid w:val="7E5751DF"/>
    <w:rsid w:val="7E5A082B"/>
    <w:rsid w:val="7E745D91"/>
    <w:rsid w:val="7E855111"/>
    <w:rsid w:val="7E924469"/>
    <w:rsid w:val="7E9755DB"/>
    <w:rsid w:val="7E977CD1"/>
    <w:rsid w:val="7E9D5427"/>
    <w:rsid w:val="7E9F4DC6"/>
    <w:rsid w:val="7EB17CD2"/>
    <w:rsid w:val="7EC363D0"/>
    <w:rsid w:val="7EC565EC"/>
    <w:rsid w:val="7F2A644F"/>
    <w:rsid w:val="7F2F3A66"/>
    <w:rsid w:val="7F34107C"/>
    <w:rsid w:val="7F370B6C"/>
    <w:rsid w:val="7F4F4108"/>
    <w:rsid w:val="7F65392B"/>
    <w:rsid w:val="7F6A33D7"/>
    <w:rsid w:val="7F7A1433"/>
    <w:rsid w:val="7F7B4EFD"/>
    <w:rsid w:val="7F8D070C"/>
    <w:rsid w:val="7F8D6A3F"/>
    <w:rsid w:val="7F8F2756"/>
    <w:rsid w:val="7FBB62FB"/>
    <w:rsid w:val="7FC00B62"/>
    <w:rsid w:val="7FC8092A"/>
    <w:rsid w:val="7FD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2"/>
    <w:basedOn w:val="1"/>
    <w:next w:val="1"/>
    <w:link w:val="35"/>
    <w:qFormat/>
    <w:locked/>
    <w:uiPriority w:val="0"/>
    <w:pPr>
      <w:keepNext/>
      <w:keepLines/>
      <w:spacing w:before="120" w:after="120"/>
      <w:jc w:val="left"/>
      <w:outlineLvl w:val="1"/>
    </w:pPr>
    <w:rPr>
      <w:rFonts w:ascii="宋体" w:hAnsi="宋体" w:eastAsia="宋体" w:cs="Times New Roman"/>
      <w:b/>
      <w:szCs w:val="24"/>
    </w:rPr>
  </w:style>
  <w:style w:type="paragraph" w:styleId="5">
    <w:name w:val="heading 3"/>
    <w:basedOn w:val="1"/>
    <w:next w:val="1"/>
    <w:link w:val="34"/>
    <w:qFormat/>
    <w:locked/>
    <w:uiPriority w:val="0"/>
    <w:pPr>
      <w:keepNext/>
      <w:keepLines/>
      <w:shd w:val="clear" w:color="auto" w:fill="FFFFFF"/>
      <w:wordWrap w:val="0"/>
      <w:spacing w:line="390" w:lineRule="atLeast"/>
      <w:outlineLvl w:val="2"/>
    </w:pPr>
    <w:rPr>
      <w:rFonts w:ascii="宋体" w:hAnsi="宋体" w:eastAsia="宋体" w:cs="Times New Roman"/>
      <w:b/>
      <w:szCs w:val="21"/>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文本缩进11"/>
    <w:basedOn w:val="1"/>
    <w:next w:val="3"/>
    <w:unhideWhenUsed/>
    <w:qFormat/>
    <w:uiPriority w:val="0"/>
    <w:pPr>
      <w:spacing w:after="120"/>
      <w:ind w:left="420"/>
    </w:pPr>
  </w:style>
  <w:style w:type="paragraph" w:customStyle="1" w:styleId="3">
    <w:name w:val="正文文本首行缩进 2"/>
    <w:basedOn w:val="2"/>
    <w:qFormat/>
    <w:uiPriority w:val="0"/>
    <w:pPr>
      <w:spacing w:after="0" w:line="360" w:lineRule="auto"/>
      <w:ind w:left="0" w:firstLine="420"/>
    </w:pPr>
    <w:rPr>
      <w:rFonts w:ascii="宋体" w:hAnsi="宋体" w:eastAsia="宋体" w:cs="Times New Roman"/>
      <w:szCs w:val="20"/>
    </w:rPr>
  </w:style>
  <w:style w:type="paragraph" w:styleId="6">
    <w:name w:val="Normal Indent"/>
    <w:basedOn w:val="1"/>
    <w:qFormat/>
    <w:uiPriority w:val="0"/>
    <w:pPr>
      <w:ind w:firstLine="420"/>
    </w:pPr>
    <w:rPr>
      <w:szCs w:val="20"/>
    </w:rPr>
  </w:style>
  <w:style w:type="paragraph" w:styleId="7">
    <w:name w:val="annotation text"/>
    <w:basedOn w:val="1"/>
    <w:semiHidden/>
    <w:unhideWhenUsed/>
    <w:qFormat/>
    <w:uiPriority w:val="99"/>
    <w:pPr>
      <w:jc w:val="left"/>
    </w:pPr>
  </w:style>
  <w:style w:type="paragraph" w:styleId="8">
    <w:name w:val="Body Text"/>
    <w:basedOn w:val="1"/>
    <w:qFormat/>
    <w:uiPriority w:val="0"/>
    <w:rPr>
      <w:rFonts w:ascii="楷体_GB2312" w:hAnsi="Arial" w:eastAsia="楷体_GB2312" w:cs="Times New Roman"/>
      <w:sz w:val="28"/>
    </w:rPr>
  </w:style>
  <w:style w:type="paragraph" w:styleId="9">
    <w:name w:val="Body Text Indent"/>
    <w:basedOn w:val="1"/>
    <w:link w:val="22"/>
    <w:qFormat/>
    <w:uiPriority w:val="0"/>
    <w:pPr>
      <w:ind w:firstLine="570"/>
    </w:pPr>
    <w:rPr>
      <w:rFonts w:ascii="宋体"/>
      <w:sz w:val="28"/>
      <w:szCs w:val="20"/>
    </w:rPr>
  </w:style>
  <w:style w:type="paragraph" w:styleId="10">
    <w:name w:val="Plain Text"/>
    <w:basedOn w:val="1"/>
    <w:qFormat/>
    <w:uiPriority w:val="0"/>
    <w:rPr>
      <w:rFonts w:ascii="宋体" w:hAnsi="Courier New" w:eastAsia="宋体" w:cs="Times New Roman"/>
    </w:rPr>
  </w:style>
  <w:style w:type="paragraph" w:styleId="11">
    <w:name w:val="Balloon Text"/>
    <w:basedOn w:val="1"/>
    <w:semiHidden/>
    <w:qFormat/>
    <w:uiPriority w:val="0"/>
    <w:rPr>
      <w:sz w:val="18"/>
      <w:szCs w:val="18"/>
    </w:rPr>
  </w:style>
  <w:style w:type="paragraph" w:styleId="12">
    <w:name w:val="footer"/>
    <w:basedOn w:val="1"/>
    <w:link w:val="23"/>
    <w:semiHidden/>
    <w:qFormat/>
    <w:uiPriority w:val="99"/>
    <w:pPr>
      <w:tabs>
        <w:tab w:val="center" w:pos="4153"/>
        <w:tab w:val="right" w:pos="8306"/>
      </w:tabs>
      <w:snapToGrid w:val="0"/>
      <w:jc w:val="left"/>
    </w:pPr>
    <w:rPr>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Message Header"/>
    <w:basedOn w:val="1"/>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15">
    <w:name w:val="Normal (Web)"/>
    <w:basedOn w:val="1"/>
    <w:unhideWhenUsed/>
    <w:qFormat/>
    <w:uiPriority w:val="99"/>
    <w:pPr>
      <w:spacing w:before="100" w:beforeAutospacing="1" w:after="100" w:afterAutospacing="1"/>
      <w:jc w:val="left"/>
    </w:pPr>
    <w:rPr>
      <w:kern w:val="0"/>
      <w:sz w:val="24"/>
    </w:rPr>
  </w:style>
  <w:style w:type="paragraph" w:styleId="16">
    <w:name w:val="Body Text First Indent"/>
    <w:basedOn w:val="8"/>
    <w:qFormat/>
    <w:uiPriority w:val="0"/>
    <w:pPr>
      <w:spacing w:line="360" w:lineRule="auto"/>
      <w:ind w:firstLine="200"/>
    </w:pPr>
    <w:rPr>
      <w:rFonts w:ascii="仿宋_GB2312" w:eastAsia="仿宋_GB2312"/>
      <w:sz w:val="30"/>
      <w:szCs w:val="30"/>
    </w:rPr>
  </w:style>
  <w:style w:type="character" w:styleId="19">
    <w:name w:val="Strong"/>
    <w:basedOn w:val="18"/>
    <w:qFormat/>
    <w:locked/>
    <w:uiPriority w:val="0"/>
    <w:rPr>
      <w:b/>
    </w:rPr>
  </w:style>
  <w:style w:type="character" w:styleId="20">
    <w:name w:val="page number"/>
    <w:basedOn w:val="18"/>
    <w:qFormat/>
    <w:uiPriority w:val="0"/>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2">
    <w:name w:val="正文文本缩进 Char"/>
    <w:link w:val="9"/>
    <w:qFormat/>
    <w:uiPriority w:val="0"/>
    <w:rPr>
      <w:rFonts w:ascii="宋体" w:hAnsi="Times New Roman"/>
      <w:kern w:val="2"/>
      <w:sz w:val="28"/>
    </w:rPr>
  </w:style>
  <w:style w:type="character" w:customStyle="1" w:styleId="23">
    <w:name w:val="页脚 Char"/>
    <w:link w:val="12"/>
    <w:qFormat/>
    <w:uiPriority w:val="99"/>
    <w:rPr>
      <w:sz w:val="18"/>
      <w:szCs w:val="18"/>
    </w:rPr>
  </w:style>
  <w:style w:type="character" w:customStyle="1" w:styleId="24">
    <w:name w:val="页眉 Char"/>
    <w:link w:val="13"/>
    <w:qFormat/>
    <w:uiPriority w:val="99"/>
    <w:rPr>
      <w:sz w:val="18"/>
      <w:szCs w:val="18"/>
    </w:rPr>
  </w:style>
  <w:style w:type="character" w:customStyle="1" w:styleId="25">
    <w:name w:val="msoins"/>
    <w:qFormat/>
    <w:uiPriority w:val="99"/>
  </w:style>
  <w:style w:type="paragraph" w:customStyle="1" w:styleId="26">
    <w:name w:val="列出段落1"/>
    <w:basedOn w:val="1"/>
    <w:qFormat/>
    <w:uiPriority w:val="99"/>
    <w:pPr>
      <w:ind w:firstLine="420" w:firstLineChars="200"/>
    </w:pPr>
  </w:style>
  <w:style w:type="paragraph" w:customStyle="1" w:styleId="27">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6"/>
      <w:szCs w:val="26"/>
      <w:lang w:eastAsia="en-US"/>
    </w:rPr>
  </w:style>
  <w:style w:type="table" w:customStyle="1" w:styleId="28">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29">
    <w:name w:val="正文首行缩进 21"/>
    <w:basedOn w:val="30"/>
    <w:next w:val="1"/>
    <w:unhideWhenUsed/>
    <w:qFormat/>
    <w:uiPriority w:val="0"/>
    <w:pPr>
      <w:ind w:firstLine="420"/>
    </w:pPr>
  </w:style>
  <w:style w:type="paragraph" w:customStyle="1" w:styleId="30">
    <w:name w:val="正文文本缩进1"/>
    <w:basedOn w:val="1"/>
    <w:next w:val="31"/>
    <w:qFormat/>
    <w:uiPriority w:val="0"/>
    <w:pPr>
      <w:spacing w:after="120"/>
      <w:ind w:left="420" w:leftChars="200"/>
    </w:pPr>
    <w:rPr>
      <w:rFonts w:ascii="Times New Roman" w:hAnsi="Times New Roman" w:eastAsia="宋体" w:cs="Times New Roman"/>
      <w:szCs w:val="24"/>
    </w:rPr>
  </w:style>
  <w:style w:type="paragraph" w:customStyle="1" w:styleId="31">
    <w:name w:val="寄信人地址11"/>
    <w:basedOn w:val="1"/>
    <w:qFormat/>
    <w:uiPriority w:val="0"/>
    <w:rPr>
      <w:rFonts w:ascii="Arial" w:hAnsi="Arial" w:eastAsia="宋体" w:cs="宋体"/>
    </w:rPr>
  </w:style>
  <w:style w:type="paragraph" w:customStyle="1" w:styleId="32">
    <w:name w:val="[Normal]"/>
    <w:qFormat/>
    <w:uiPriority w:val="0"/>
    <w:rPr>
      <w:rFonts w:ascii="方正仿宋简体" w:hAnsi="方正仿宋简体" w:eastAsia="方正仿宋简体" w:cs="Courier New"/>
      <w:sz w:val="24"/>
      <w:szCs w:val="22"/>
      <w:lang w:val="zh-CN" w:eastAsia="zh-CN" w:bidi="ar-SA"/>
    </w:rPr>
  </w:style>
  <w:style w:type="paragraph" w:customStyle="1" w:styleId="33">
    <w:name w:val="_Style 13"/>
    <w:qFormat/>
    <w:uiPriority w:val="0"/>
    <w:pPr>
      <w:spacing w:before="120" w:after="120" w:line="288" w:lineRule="auto"/>
      <w:ind w:left="0"/>
      <w:jc w:val="left"/>
    </w:pPr>
    <w:rPr>
      <w:rFonts w:ascii="Arial" w:hAnsi="Arial" w:eastAsia="等线" w:cs="Arial"/>
      <w:sz w:val="22"/>
      <w:szCs w:val="22"/>
    </w:rPr>
  </w:style>
  <w:style w:type="character" w:customStyle="1" w:styleId="34">
    <w:name w:val="标题 3 Char"/>
    <w:link w:val="5"/>
    <w:qFormat/>
    <w:uiPriority w:val="0"/>
    <w:rPr>
      <w:rFonts w:ascii="宋体" w:hAnsi="宋体" w:eastAsia="宋体" w:cs="Times New Roman"/>
      <w:b/>
      <w:szCs w:val="21"/>
    </w:rPr>
  </w:style>
  <w:style w:type="character" w:customStyle="1" w:styleId="35">
    <w:name w:val="标题 2 Char"/>
    <w:link w:val="4"/>
    <w:qFormat/>
    <w:uiPriority w:val="0"/>
    <w:rPr>
      <w:rFonts w:ascii="宋体" w:hAnsi="宋体" w:eastAsia="宋体" w:cs="Times New Roman"/>
      <w:b/>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27</Pages>
  <Words>7629</Words>
  <Characters>8134</Characters>
  <Lines>32</Lines>
  <Paragraphs>9</Paragraphs>
  <TotalTime>6</TotalTime>
  <ScaleCrop>false</ScaleCrop>
  <LinksUpToDate>false</LinksUpToDate>
  <CharactersWithSpaces>8187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2023-03-16T06:14:00Z</dcterms:created>
  <dc:creator>吕润吉</dc:creator>
  <cp:lastModifiedBy>溜溜球</cp:lastModifiedBy>
  <cp:lastPrinted>2025-09-24T00:34:00Z</cp:lastPrinted>
  <dcterms:modified xsi:type="dcterms:W3CDTF">2026-10-14T00:26:45Z</dcterms:modified>
  <dc:title>南京市本级社保基金间隙资金</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151C86ADB0F8468BA88E7133C31BE774_13</vt:lpwstr>
  </property>
  <property fmtid="{D5CDD505-2E9C-101B-9397-08002B2CF9AE}" pid="4" name="KSOTemplateDocerSaveRecord">
    <vt:lpwstr>eyJoZGlkIjoiNzA4NTM4Y2ZhMDZlMGIyOGI3M2Q5Y2IxMTA3NzgwZGIiLCJ1c2VySWQiOiI2NjA3NzAyMDgifQ==</vt:lpwstr>
  </property>
</Properties>
</file>